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05C02" w14:textId="77777777" w:rsidR="00F85E6F" w:rsidRDefault="00F85E6F" w:rsidP="00F85E6F">
      <w:pPr>
        <w:spacing w:after="0" w:line="240" w:lineRule="auto"/>
        <w:rPr>
          <w:rFonts w:ascii="Arial" w:hAnsi="Arial" w:cs="Arial"/>
          <w:color w:val="000000"/>
          <w:sz w:val="28"/>
          <w:szCs w:val="28"/>
          <w:lang w:eastAsia="fi-FI"/>
          <w14:ligatures w14:val="none"/>
        </w:rPr>
      </w:pPr>
      <w:r>
        <w:rPr>
          <w:rFonts w:ascii="Arial" w:hAnsi="Arial" w:cs="Arial"/>
          <w:color w:val="000000"/>
          <w:sz w:val="28"/>
          <w:szCs w:val="28"/>
          <w:lang w:eastAsia="fi-FI"/>
          <w14:ligatures w14:val="none"/>
        </w:rPr>
        <w:t xml:space="preserve">Kirjallinen kysymys </w:t>
      </w:r>
    </w:p>
    <w:p w14:paraId="0C967B57" w14:textId="77777777" w:rsidR="00F85E6F" w:rsidRDefault="00F85E6F" w:rsidP="00F85E6F">
      <w:pPr>
        <w:spacing w:after="0" w:line="240" w:lineRule="auto"/>
        <w:rPr>
          <w:rFonts w:ascii="Times New Roman" w:hAnsi="Times New Roman" w:cs="Times New Roman"/>
          <w:lang w:eastAsia="fi-FI"/>
          <w14:ligatures w14:val="none"/>
        </w:rPr>
      </w:pPr>
      <w:r>
        <w:rPr>
          <w:rFonts w:ascii="Arial" w:hAnsi="Arial" w:cs="Arial"/>
          <w:color w:val="000000"/>
          <w:sz w:val="28"/>
          <w:szCs w:val="28"/>
          <w:lang w:eastAsia="fi-FI"/>
          <w14:ligatures w14:val="none"/>
        </w:rPr>
        <w:t>Tutkimukseen perustuvan päätöksenteon instrumenttien lakkauttamisesta</w:t>
      </w:r>
    </w:p>
    <w:p w14:paraId="04067E71" w14:textId="77777777" w:rsidR="00F85E6F" w:rsidRDefault="00F85E6F" w:rsidP="00F85E6F">
      <w:pPr>
        <w:spacing w:after="0" w:line="240" w:lineRule="auto"/>
        <w:rPr>
          <w:rFonts w:ascii="Times New Roman" w:hAnsi="Times New Roman" w:cs="Times New Roman"/>
          <w:lang w:eastAsia="fi-FI"/>
          <w14:ligatures w14:val="none"/>
        </w:rPr>
      </w:pPr>
    </w:p>
    <w:p w14:paraId="082D739F" w14:textId="77777777" w:rsidR="00F85E6F" w:rsidRDefault="00F85E6F" w:rsidP="00F85E6F">
      <w:pPr>
        <w:spacing w:before="240" w:after="240" w:line="240" w:lineRule="auto"/>
        <w:rPr>
          <w:rFonts w:ascii="Times New Roman" w:hAnsi="Times New Roman" w:cs="Times New Roman"/>
          <w:lang w:eastAsia="fi-FI"/>
          <w14:ligatures w14:val="none"/>
        </w:rPr>
      </w:pPr>
      <w:r>
        <w:rPr>
          <w:rFonts w:ascii="Arial" w:hAnsi="Arial" w:cs="Arial"/>
          <w:b/>
          <w:bCs/>
          <w:i/>
          <w:iCs/>
          <w:color w:val="000000"/>
          <w:sz w:val="22"/>
          <w:szCs w:val="22"/>
          <w:lang w:eastAsia="fi-FI"/>
          <w14:ligatures w14:val="none"/>
        </w:rPr>
        <w:t>Eduskunnan puhemiehelle</w:t>
      </w:r>
    </w:p>
    <w:p w14:paraId="52B94193" w14:textId="77777777" w:rsidR="00F85E6F" w:rsidRDefault="00F85E6F" w:rsidP="00F85E6F">
      <w:pPr>
        <w:spacing w:before="240" w:after="240" w:line="240" w:lineRule="auto"/>
        <w:rPr>
          <w:rFonts w:ascii="Times New Roman" w:hAnsi="Times New Roman" w:cs="Times New Roman"/>
          <w:lang w:eastAsia="fi-FI"/>
          <w14:ligatures w14:val="none"/>
        </w:rPr>
      </w:pPr>
      <w:r>
        <w:rPr>
          <w:rFonts w:ascii="Arial" w:hAnsi="Arial" w:cs="Arial"/>
          <w:color w:val="000000"/>
          <w:sz w:val="22"/>
          <w:szCs w:val="22"/>
          <w:lang w:eastAsia="fi-FI"/>
          <w14:ligatures w14:val="none"/>
        </w:rPr>
        <w:t>Poliittisen päätöksenteon ja päätösten valmistelun tulisi aina perustua parhaaseen saatavilla olevaan tutkittuun tietoon. On hälyttävää, että hallitus tekee toimia, joilla vähennetään tutkitun tiedon roolia päätöksenteossa.</w:t>
      </w:r>
    </w:p>
    <w:p w14:paraId="281581B1" w14:textId="77777777" w:rsidR="00F85E6F" w:rsidRDefault="00F85E6F" w:rsidP="00F85E6F">
      <w:pPr>
        <w:spacing w:after="0" w:line="240" w:lineRule="auto"/>
        <w:rPr>
          <w:rFonts w:ascii="Times New Roman" w:hAnsi="Times New Roman" w:cs="Times New Roman"/>
          <w:lang w:eastAsia="fi-FI"/>
          <w14:ligatures w14:val="none"/>
        </w:rPr>
      </w:pPr>
      <w:r>
        <w:rPr>
          <w:rFonts w:ascii="Arial" w:hAnsi="Arial" w:cs="Arial"/>
          <w:color w:val="000000"/>
          <w:sz w:val="22"/>
          <w:szCs w:val="22"/>
          <w:lang w:eastAsia="fi-FI"/>
          <w14:ligatures w14:val="none"/>
        </w:rPr>
        <w:t>Joulukuussa hyväksytyn vuoden 2024 talousarvion mukaisesti valtioneuvoston kanslian koordinoimaan valtioneuvoston yhteiseen selvitys- ja tutkimustoimintaan (VN TEAS) ei enää jatkossa ole kohdennettavissa määrärahaa.</w:t>
      </w:r>
    </w:p>
    <w:p w14:paraId="5C1D1C3F" w14:textId="77777777" w:rsidR="00F85E6F" w:rsidRDefault="00F85E6F" w:rsidP="00F85E6F">
      <w:pPr>
        <w:spacing w:after="0" w:line="240" w:lineRule="auto"/>
        <w:rPr>
          <w:rFonts w:ascii="Times New Roman" w:hAnsi="Times New Roman" w:cs="Times New Roman"/>
          <w:lang w:eastAsia="fi-FI"/>
          <w14:ligatures w14:val="none"/>
        </w:rPr>
      </w:pPr>
    </w:p>
    <w:p w14:paraId="63D17886" w14:textId="77777777" w:rsidR="00F85E6F" w:rsidRDefault="00F85E6F" w:rsidP="00F85E6F">
      <w:pPr>
        <w:spacing w:after="0" w:line="240" w:lineRule="auto"/>
        <w:rPr>
          <w:rFonts w:ascii="Times New Roman" w:hAnsi="Times New Roman" w:cs="Times New Roman"/>
          <w:lang w:eastAsia="fi-FI"/>
          <w14:ligatures w14:val="none"/>
        </w:rPr>
      </w:pPr>
      <w:r>
        <w:rPr>
          <w:rFonts w:ascii="Arial" w:hAnsi="Arial" w:cs="Arial"/>
          <w:color w:val="000000"/>
          <w:sz w:val="22"/>
          <w:szCs w:val="22"/>
          <w:lang w:eastAsia="fi-FI"/>
          <w14:ligatures w14:val="none"/>
        </w:rPr>
        <w:t>On arvokasta, että valtioneuvoston selvitys- ja tutkimustoiminnalla on rahoitettu tutkimusta, joka tarjoaa luotettavaa, verrattain nopealla aikataululla tuotettua tietoa päätöksenteon tueksi. Selvitys- ja tutkimustoiminnan on tarkoitus auttaa eri ministeriöitä tiedon saannissa ja tiedon hyödyntämisessä. Tällaisen poikkitieteellisen ja poikkihallinnollisuutta edistävän toiminnan lakkauttamisen jälkeen yhteistyö tulee vähenemään. Tämä on ristiriidassa hallitusohjelmassa ääneen lausuttujen tavoitteiden kanssa. Yllättävää on myös se, että valtioneuvoston kansliassa ei ollut etukäteen tietoa toiminnan lakkauttamisesta.</w:t>
      </w:r>
    </w:p>
    <w:p w14:paraId="76098C23" w14:textId="77777777" w:rsidR="00F85E6F" w:rsidRDefault="00F85E6F" w:rsidP="00F85E6F">
      <w:pPr>
        <w:spacing w:after="0" w:line="240" w:lineRule="auto"/>
        <w:rPr>
          <w:rFonts w:ascii="Times New Roman" w:hAnsi="Times New Roman" w:cs="Times New Roman"/>
          <w:lang w:eastAsia="fi-FI"/>
          <w14:ligatures w14:val="none"/>
        </w:rPr>
      </w:pPr>
    </w:p>
    <w:p w14:paraId="67520449" w14:textId="77777777" w:rsidR="00F85E6F" w:rsidRDefault="00F85E6F" w:rsidP="00F85E6F">
      <w:pPr>
        <w:spacing w:after="0" w:line="240" w:lineRule="auto"/>
        <w:rPr>
          <w:rFonts w:ascii="Times New Roman" w:hAnsi="Times New Roman" w:cs="Times New Roman"/>
          <w:lang w:eastAsia="fi-FI"/>
          <w14:ligatures w14:val="none"/>
        </w:rPr>
      </w:pPr>
      <w:r>
        <w:rPr>
          <w:rFonts w:ascii="Arial" w:hAnsi="Arial" w:cs="Arial"/>
          <w:color w:val="000000"/>
          <w:sz w:val="22"/>
          <w:szCs w:val="22"/>
          <w:lang w:eastAsia="fi-FI"/>
          <w14:ligatures w14:val="none"/>
        </w:rPr>
        <w:t>Hallituksen välinpitämättömyys tutkimustietoon perustuvaa päätöksentekoa kohtaan on yhteiskunnallisesti merkittävä kysymys ja väärä signaali. Valtioneuvoston tutkimus- ja selvitystoiminnan lakkauttaminen rapauttaa aiemmin otettuja askelia tutkimusperusteisen päätöksenteon vahvistamiseksi yhteiskunnallisesti tärkeissä asioissa. Samasta viestii myös maahanmuuttoteeman tutkimisen estäminen Suomen Akatemian strategisen tutkimuksen puitteissa.</w:t>
      </w:r>
    </w:p>
    <w:p w14:paraId="507B622C" w14:textId="77777777" w:rsidR="00F85E6F" w:rsidRDefault="00F85E6F" w:rsidP="00F85E6F">
      <w:pPr>
        <w:spacing w:after="0" w:line="240" w:lineRule="auto"/>
        <w:rPr>
          <w:rFonts w:ascii="Times New Roman" w:hAnsi="Times New Roman" w:cs="Times New Roman"/>
          <w:lang w:eastAsia="fi-FI"/>
          <w14:ligatures w14:val="none"/>
        </w:rPr>
      </w:pPr>
    </w:p>
    <w:p w14:paraId="28722347" w14:textId="77777777" w:rsidR="00F85E6F" w:rsidRDefault="00F85E6F" w:rsidP="00F85E6F">
      <w:pPr>
        <w:spacing w:after="240" w:line="240" w:lineRule="auto"/>
        <w:rPr>
          <w:rFonts w:ascii="Times New Roman" w:hAnsi="Times New Roman" w:cs="Times New Roman"/>
          <w:lang w:eastAsia="fi-FI"/>
          <w14:ligatures w14:val="none"/>
        </w:rPr>
      </w:pPr>
      <w:r>
        <w:rPr>
          <w:rFonts w:ascii="Arial" w:hAnsi="Arial" w:cs="Arial"/>
          <w:color w:val="000000"/>
          <w:sz w:val="22"/>
          <w:szCs w:val="22"/>
          <w:lang w:eastAsia="fi-FI"/>
          <w14:ligatures w14:val="none"/>
        </w:rPr>
        <w:t>Lyhytnäköinen tutkimustiedon roolin heikentäminen päätöksenteossa sai jatkoa, kun yritystukien tutkimusjaosto lakkautettiin.</w:t>
      </w:r>
    </w:p>
    <w:p w14:paraId="3DC026D8" w14:textId="77777777" w:rsidR="00F85E6F" w:rsidRDefault="00F85E6F" w:rsidP="00F85E6F">
      <w:pPr>
        <w:spacing w:after="0" w:line="240" w:lineRule="auto"/>
        <w:rPr>
          <w:rFonts w:ascii="Times New Roman" w:hAnsi="Times New Roman" w:cs="Times New Roman"/>
          <w:lang w:eastAsia="fi-FI"/>
          <w14:ligatures w14:val="none"/>
        </w:rPr>
      </w:pPr>
      <w:r>
        <w:rPr>
          <w:rFonts w:ascii="Arial" w:hAnsi="Arial" w:cs="Arial"/>
          <w:color w:val="000000"/>
          <w:sz w:val="22"/>
          <w:szCs w:val="22"/>
          <w:lang w:eastAsia="fi-FI"/>
          <w14:ligatures w14:val="none"/>
        </w:rPr>
        <w:t xml:space="preserve">Yritystukien tutkimusjaosto (YTJ) oli valtioneuvoston asettama työ- ja elinkeinoministeriön yhteydessä toimiva, riippumaton toimielin, jonka tehtävänä oli seurata yritystukijärjestelmän kehittymistä, edistää yritystukien vaikuttavuuden tutkimista ja teettää riippumattomia arvioita yritystuista. </w:t>
      </w:r>
      <w:proofErr w:type="spellStart"/>
      <w:r>
        <w:rPr>
          <w:rFonts w:ascii="Arial" w:hAnsi="Arial" w:cs="Arial"/>
          <w:color w:val="000000"/>
          <w:sz w:val="22"/>
          <w:szCs w:val="22"/>
          <w:lang w:eastAsia="fi-FI"/>
          <w14:ligatures w14:val="none"/>
        </w:rPr>
        <w:t>TEM:ssä</w:t>
      </w:r>
      <w:proofErr w:type="spellEnd"/>
      <w:r>
        <w:rPr>
          <w:rFonts w:ascii="Arial" w:hAnsi="Arial" w:cs="Arial"/>
          <w:color w:val="000000"/>
          <w:sz w:val="22"/>
          <w:szCs w:val="22"/>
          <w:lang w:eastAsia="fi-FI"/>
          <w14:ligatures w14:val="none"/>
        </w:rPr>
        <w:t xml:space="preserve"> ei ole noudatettu asetusta YTJ:stä, sillä se on toiminut kautensa alusta asti ilman sihteeriä, vaikka tälle on velvoite.</w:t>
      </w:r>
    </w:p>
    <w:p w14:paraId="0F9F1453" w14:textId="77777777" w:rsidR="00F85E6F" w:rsidRDefault="00F85E6F" w:rsidP="00F85E6F">
      <w:pPr>
        <w:spacing w:after="0" w:line="240" w:lineRule="auto"/>
        <w:rPr>
          <w:rFonts w:ascii="Times New Roman" w:hAnsi="Times New Roman" w:cs="Times New Roman"/>
          <w:lang w:eastAsia="fi-FI"/>
          <w14:ligatures w14:val="none"/>
        </w:rPr>
      </w:pPr>
    </w:p>
    <w:p w14:paraId="64DB5E2F" w14:textId="77777777" w:rsidR="00F85E6F" w:rsidRDefault="00F85E6F" w:rsidP="00F85E6F">
      <w:pPr>
        <w:spacing w:after="0" w:line="240" w:lineRule="auto"/>
        <w:rPr>
          <w:rFonts w:ascii="Times New Roman" w:hAnsi="Times New Roman" w:cs="Times New Roman"/>
          <w:lang w:eastAsia="fi-FI"/>
          <w14:ligatures w14:val="none"/>
        </w:rPr>
      </w:pPr>
      <w:r>
        <w:rPr>
          <w:rFonts w:ascii="Arial" w:hAnsi="Arial" w:cs="Arial"/>
          <w:color w:val="000000"/>
          <w:sz w:val="22"/>
          <w:szCs w:val="22"/>
          <w:lang w:eastAsia="fi-FI"/>
          <w14:ligatures w14:val="none"/>
        </w:rPr>
        <w:t xml:space="preserve">YTJ:n lakisääteisiä velvoitteita ovat </w:t>
      </w:r>
      <w:r>
        <w:rPr>
          <w:rFonts w:ascii="Arial" w:hAnsi="Arial" w:cs="Arial"/>
          <w:color w:val="0E101A"/>
          <w:sz w:val="22"/>
          <w:szCs w:val="22"/>
          <w:lang w:eastAsia="fi-FI"/>
          <w14:ligatures w14:val="none"/>
        </w:rPr>
        <w:t xml:space="preserve">mm. laatia vuosittainen arvio yritystukijärjestelmän kehittymisestä ja valmistella ja tehdä taustatöitä kilpailutettavien yritystukien vaikuttavuutta arvioivien hankkeiden osalta. </w:t>
      </w:r>
      <w:r>
        <w:rPr>
          <w:rFonts w:ascii="Arial" w:hAnsi="Arial" w:cs="Arial"/>
          <w:color w:val="000000"/>
          <w:sz w:val="22"/>
          <w:szCs w:val="22"/>
          <w:lang w:eastAsia="fi-FI"/>
          <w14:ligatures w14:val="none"/>
        </w:rPr>
        <w:t>Valtion varojen parhaan mahdollisen ja tehokkaan käytön kannalta on tärkeää selvittää ja seurata yritystukien vaikutuksia. Yritystuet ovat miljardien menoerä vuositasolla valtiolle. Erilaisten selvitysten perusteella yritystukia jaetaan usein tehottomasti ja osa tuista on haitallisia eikä edes parhaiden yritystukien eli taloutta uudistavien, vihreää siirtymää ja talouskasvua tukevien T&amp;K-tukien kohdentaminen ole ollut aina kovin onnistunutta. </w:t>
      </w:r>
    </w:p>
    <w:p w14:paraId="4EB92D74" w14:textId="77777777" w:rsidR="00F85E6F" w:rsidRDefault="00F85E6F" w:rsidP="00F85E6F">
      <w:pPr>
        <w:spacing w:before="240" w:after="240" w:line="240" w:lineRule="auto"/>
        <w:rPr>
          <w:rFonts w:ascii="Times New Roman" w:hAnsi="Times New Roman" w:cs="Times New Roman"/>
          <w:lang w:eastAsia="fi-FI"/>
          <w14:ligatures w14:val="none"/>
        </w:rPr>
      </w:pPr>
      <w:r>
        <w:rPr>
          <w:rFonts w:ascii="Arial" w:hAnsi="Arial" w:cs="Arial"/>
          <w:color w:val="000000"/>
          <w:sz w:val="22"/>
          <w:szCs w:val="22"/>
          <w:lang w:eastAsia="fi-FI"/>
          <w14:ligatures w14:val="none"/>
        </w:rPr>
        <w:t xml:space="preserve">Parhaillaan ollaan </w:t>
      </w:r>
      <w:proofErr w:type="spellStart"/>
      <w:r>
        <w:rPr>
          <w:rFonts w:ascii="Arial" w:hAnsi="Arial" w:cs="Arial"/>
          <w:color w:val="000000"/>
          <w:sz w:val="22"/>
          <w:szCs w:val="22"/>
          <w:lang w:eastAsia="fi-FI"/>
          <w14:ligatures w14:val="none"/>
        </w:rPr>
        <w:t>täytäntöönpanemassa</w:t>
      </w:r>
      <w:proofErr w:type="spellEnd"/>
      <w:r>
        <w:rPr>
          <w:rFonts w:ascii="Arial" w:hAnsi="Arial" w:cs="Arial"/>
          <w:color w:val="000000"/>
          <w:sz w:val="22"/>
          <w:szCs w:val="22"/>
          <w:lang w:eastAsia="fi-FI"/>
          <w14:ligatures w14:val="none"/>
        </w:rPr>
        <w:t xml:space="preserve"> </w:t>
      </w:r>
      <w:proofErr w:type="spellStart"/>
      <w:r>
        <w:rPr>
          <w:rFonts w:ascii="Arial" w:hAnsi="Arial" w:cs="Arial"/>
          <w:color w:val="000000"/>
          <w:sz w:val="22"/>
          <w:szCs w:val="22"/>
          <w:lang w:eastAsia="fi-FI"/>
          <w14:ligatures w14:val="none"/>
        </w:rPr>
        <w:t>Marinin</w:t>
      </w:r>
      <w:proofErr w:type="spellEnd"/>
      <w:r>
        <w:rPr>
          <w:rFonts w:ascii="Arial" w:hAnsi="Arial" w:cs="Arial"/>
          <w:color w:val="000000"/>
          <w:sz w:val="22"/>
          <w:szCs w:val="22"/>
          <w:lang w:eastAsia="fi-FI"/>
          <w14:ligatures w14:val="none"/>
        </w:rPr>
        <w:t xml:space="preserve"> hallituskaudella voimaan tullutta lakia valtion tutkimus- ja kehitystoiminnan rahoituksesta vuosina 2024–2030 ja lisäämässä valtion TKI-rahoitusta 280 miljoonalla vuosittain vuoteen 2030 asti, ja kun myös yritystukien määrä kasvaa, niin yritystukien seurannan ja vaikuttavuuden arvioinnin tarve korostuu, ei vähene. YTJ:n riippumattomalle, akateemiselle yritystukien vaikuttavuuden arvioinnille ja seurannalle olisi tässä tilanteessa, jossa samanaikaisesti hallitus hakee mittavia leikkaus- ja säästökohteita, erityisesti tarvetta.</w:t>
      </w:r>
    </w:p>
    <w:p w14:paraId="3111A910" w14:textId="77777777" w:rsidR="00F85E6F" w:rsidRDefault="00F85E6F" w:rsidP="00F85E6F">
      <w:pPr>
        <w:spacing w:before="240" w:after="240" w:line="240" w:lineRule="auto"/>
        <w:rPr>
          <w:rFonts w:ascii="Times New Roman" w:hAnsi="Times New Roman" w:cs="Times New Roman"/>
          <w:lang w:eastAsia="fi-FI"/>
          <w14:ligatures w14:val="none"/>
        </w:rPr>
      </w:pPr>
      <w:r>
        <w:rPr>
          <w:rFonts w:ascii="Arial" w:hAnsi="Arial" w:cs="Arial"/>
          <w:color w:val="000000"/>
          <w:sz w:val="22"/>
          <w:szCs w:val="22"/>
          <w:lang w:eastAsia="fi-FI"/>
          <w14:ligatures w14:val="none"/>
        </w:rPr>
        <w:lastRenderedPageBreak/>
        <w:t>Edellä olevan perusteella ja eduskunnan työjärjestyksen 27 §:ään viitaten esitämme asianomaisen ministerin vastattavaksi seuraavan kysymyksen:</w:t>
      </w:r>
    </w:p>
    <w:p w14:paraId="0D8F9033" w14:textId="77777777" w:rsidR="00F85E6F" w:rsidRDefault="00F85E6F" w:rsidP="00F85E6F">
      <w:pPr>
        <w:spacing w:after="0" w:line="240" w:lineRule="auto"/>
        <w:rPr>
          <w:rFonts w:ascii="Times New Roman" w:hAnsi="Times New Roman" w:cs="Times New Roman"/>
          <w:lang w:eastAsia="fi-FI"/>
          <w14:ligatures w14:val="none"/>
        </w:rPr>
      </w:pPr>
      <w:r>
        <w:rPr>
          <w:rFonts w:ascii="Arial" w:hAnsi="Arial" w:cs="Arial"/>
          <w:i/>
          <w:iCs/>
          <w:color w:val="000000"/>
          <w:sz w:val="22"/>
          <w:szCs w:val="22"/>
          <w:lang w:eastAsia="fi-FI"/>
          <w14:ligatures w14:val="none"/>
        </w:rPr>
        <w:t>Miten hallitus aikoo korvata valtioneuvoston selvitys- ja tutkimustoiminnan ja yritystukien tutkimusjaoston tekemän työn ja tuottaman tiedon? </w:t>
      </w:r>
    </w:p>
    <w:p w14:paraId="579BAFA5" w14:textId="77777777" w:rsidR="00F85E6F" w:rsidRDefault="00F85E6F" w:rsidP="00F85E6F">
      <w:pPr>
        <w:spacing w:after="0" w:line="240" w:lineRule="auto"/>
        <w:rPr>
          <w:rFonts w:ascii="Times New Roman" w:hAnsi="Times New Roman" w:cs="Times New Roman"/>
          <w:lang w:eastAsia="fi-FI"/>
          <w14:ligatures w14:val="none"/>
        </w:rPr>
      </w:pPr>
    </w:p>
    <w:p w14:paraId="0AAE32D9" w14:textId="77777777" w:rsidR="00F85E6F" w:rsidRDefault="00F85E6F" w:rsidP="00F85E6F">
      <w:pPr>
        <w:spacing w:after="0" w:line="240" w:lineRule="auto"/>
        <w:rPr>
          <w:rFonts w:ascii="Times New Roman" w:hAnsi="Times New Roman" w:cs="Times New Roman"/>
          <w:lang w:eastAsia="fi-FI"/>
          <w14:ligatures w14:val="none"/>
        </w:rPr>
      </w:pPr>
      <w:r>
        <w:rPr>
          <w:rFonts w:ascii="Arial" w:hAnsi="Arial" w:cs="Arial"/>
          <w:i/>
          <w:iCs/>
          <w:color w:val="000000"/>
          <w:sz w:val="22"/>
          <w:szCs w:val="22"/>
          <w:lang w:eastAsia="fi-FI"/>
          <w14:ligatures w14:val="none"/>
        </w:rPr>
        <w:t>Miten hallitus aikoo jatkossa varmistaa ministeriöiden tiedonsaannin, poikkihallinnollisen tietojen vaihdon ja yhteistyön sekä sen, että päätösten valmistelu perustuu tutkittuun tietoon?</w:t>
      </w:r>
    </w:p>
    <w:p w14:paraId="57E16381" w14:textId="77777777" w:rsidR="00F85E6F" w:rsidRDefault="00F85E6F" w:rsidP="00F85E6F">
      <w:pPr>
        <w:spacing w:after="240" w:line="240" w:lineRule="auto"/>
        <w:rPr>
          <w:rFonts w:ascii="Times New Roman" w:hAnsi="Times New Roman" w:cs="Times New Roman"/>
          <w:lang w:eastAsia="fi-FI"/>
          <w14:ligatures w14:val="none"/>
        </w:rPr>
      </w:pPr>
    </w:p>
    <w:p w14:paraId="7CB3404C" w14:textId="77777777" w:rsidR="00F85E6F" w:rsidRDefault="00F85E6F" w:rsidP="00F85E6F">
      <w:pPr>
        <w:spacing w:before="240" w:after="240" w:line="240" w:lineRule="auto"/>
        <w:rPr>
          <w:rFonts w:ascii="Times New Roman" w:hAnsi="Times New Roman" w:cs="Times New Roman"/>
          <w:lang w:eastAsia="fi-FI"/>
          <w14:ligatures w14:val="none"/>
        </w:rPr>
      </w:pPr>
      <w:r>
        <w:rPr>
          <w:rFonts w:ascii="Arial" w:hAnsi="Arial" w:cs="Arial"/>
          <w:color w:val="000000"/>
          <w:sz w:val="22"/>
          <w:szCs w:val="22"/>
          <w:lang w:eastAsia="fi-FI"/>
          <w14:ligatures w14:val="none"/>
        </w:rPr>
        <w:t>Helsingissä 16.04.2024</w:t>
      </w:r>
    </w:p>
    <w:p w14:paraId="03B6AE28" w14:textId="77777777" w:rsidR="00F85E6F" w:rsidRDefault="00F85E6F" w:rsidP="00F85E6F">
      <w:pPr>
        <w:spacing w:before="240" w:after="240" w:line="240" w:lineRule="auto"/>
        <w:rPr>
          <w:rFonts w:ascii="Times New Roman" w:hAnsi="Times New Roman" w:cs="Times New Roman"/>
          <w:lang w:eastAsia="fi-FI"/>
          <w14:ligatures w14:val="none"/>
        </w:rPr>
      </w:pPr>
      <w:r>
        <w:rPr>
          <w:rFonts w:ascii="Arial" w:hAnsi="Arial" w:cs="Arial"/>
          <w:color w:val="000000"/>
          <w:sz w:val="22"/>
          <w:szCs w:val="22"/>
          <w:lang w:eastAsia="fi-FI"/>
          <w14:ligatures w14:val="none"/>
        </w:rPr>
        <w:softHyphen/>
      </w:r>
      <w:r>
        <w:rPr>
          <w:rFonts w:ascii="Arial" w:hAnsi="Arial" w:cs="Arial"/>
          <w:color w:val="000000"/>
          <w:sz w:val="22"/>
          <w:szCs w:val="22"/>
          <w:lang w:eastAsia="fi-FI"/>
          <w14:ligatures w14:val="none"/>
        </w:rPr>
        <w:softHyphen/>
      </w:r>
      <w:r>
        <w:rPr>
          <w:rFonts w:ascii="Arial" w:hAnsi="Arial" w:cs="Arial"/>
          <w:color w:val="000000"/>
          <w:sz w:val="22"/>
          <w:szCs w:val="22"/>
          <w:lang w:eastAsia="fi-FI"/>
          <w14:ligatures w14:val="none"/>
        </w:rPr>
        <w:softHyphen/>
      </w:r>
      <w:r>
        <w:rPr>
          <w:rFonts w:ascii="Arial" w:hAnsi="Arial" w:cs="Arial"/>
          <w:color w:val="000000"/>
          <w:sz w:val="22"/>
          <w:szCs w:val="22"/>
          <w:lang w:eastAsia="fi-FI"/>
          <w14:ligatures w14:val="none"/>
        </w:rPr>
        <w:softHyphen/>
      </w:r>
      <w:r>
        <w:rPr>
          <w:rFonts w:ascii="Arial" w:hAnsi="Arial" w:cs="Arial"/>
          <w:color w:val="000000"/>
          <w:sz w:val="22"/>
          <w:szCs w:val="22"/>
          <w:lang w:eastAsia="fi-FI"/>
          <w14:ligatures w14:val="none"/>
        </w:rPr>
        <w:softHyphen/>
      </w:r>
      <w:r>
        <w:rPr>
          <w:rFonts w:ascii="Arial" w:hAnsi="Arial" w:cs="Arial"/>
          <w:color w:val="000000"/>
          <w:sz w:val="22"/>
          <w:szCs w:val="22"/>
          <w:lang w:eastAsia="fi-FI"/>
          <w14:ligatures w14:val="none"/>
        </w:rPr>
        <w:softHyphen/>
      </w:r>
      <w:r>
        <w:rPr>
          <w:rFonts w:ascii="Arial" w:hAnsi="Arial" w:cs="Arial"/>
          <w:color w:val="000000"/>
          <w:sz w:val="22"/>
          <w:szCs w:val="22"/>
          <w:lang w:eastAsia="fi-FI"/>
          <w14:ligatures w14:val="none"/>
        </w:rPr>
        <w:softHyphen/>
      </w:r>
      <w:r>
        <w:rPr>
          <w:rFonts w:ascii="Arial" w:hAnsi="Arial" w:cs="Arial"/>
          <w:color w:val="000000"/>
          <w:sz w:val="22"/>
          <w:szCs w:val="22"/>
          <w:lang w:eastAsia="fi-FI"/>
          <w14:ligatures w14:val="none"/>
        </w:rPr>
        <w:softHyphen/>
      </w:r>
      <w:r>
        <w:rPr>
          <w:rFonts w:ascii="Arial" w:hAnsi="Arial" w:cs="Arial"/>
          <w:color w:val="000000"/>
          <w:sz w:val="22"/>
          <w:szCs w:val="22"/>
          <w:lang w:eastAsia="fi-FI"/>
          <w14:ligatures w14:val="none"/>
        </w:rPr>
        <w:softHyphen/>
      </w:r>
      <w:r>
        <w:rPr>
          <w:rFonts w:ascii="Arial" w:hAnsi="Arial" w:cs="Arial"/>
          <w:color w:val="000000"/>
          <w:sz w:val="22"/>
          <w:szCs w:val="22"/>
          <w:lang w:eastAsia="fi-FI"/>
          <w14:ligatures w14:val="none"/>
        </w:rPr>
        <w:softHyphen/>
      </w:r>
      <w:r>
        <w:rPr>
          <w:rFonts w:ascii="Arial" w:hAnsi="Arial" w:cs="Arial"/>
          <w:color w:val="000000"/>
          <w:sz w:val="22"/>
          <w:szCs w:val="22"/>
          <w:lang w:eastAsia="fi-FI"/>
          <w14:ligatures w14:val="none"/>
        </w:rPr>
        <w:softHyphen/>
      </w:r>
      <w:r>
        <w:rPr>
          <w:rFonts w:ascii="Arial" w:hAnsi="Arial" w:cs="Arial"/>
          <w:color w:val="000000"/>
          <w:sz w:val="22"/>
          <w:szCs w:val="22"/>
          <w:lang w:eastAsia="fi-FI"/>
          <w14:ligatures w14:val="none"/>
        </w:rPr>
        <w:softHyphen/>
      </w:r>
      <w:r>
        <w:rPr>
          <w:rFonts w:ascii="Arial" w:hAnsi="Arial" w:cs="Arial"/>
          <w:color w:val="000000"/>
          <w:sz w:val="22"/>
          <w:szCs w:val="22"/>
          <w:lang w:eastAsia="fi-FI"/>
          <w14:ligatures w14:val="none"/>
        </w:rPr>
        <w:softHyphen/>
      </w:r>
      <w:r>
        <w:rPr>
          <w:rFonts w:ascii="Arial" w:hAnsi="Arial" w:cs="Arial"/>
          <w:color w:val="000000"/>
          <w:sz w:val="22"/>
          <w:szCs w:val="22"/>
          <w:lang w:eastAsia="fi-FI"/>
          <w14:ligatures w14:val="none"/>
        </w:rPr>
        <w:softHyphen/>
      </w:r>
      <w:r>
        <w:rPr>
          <w:rFonts w:ascii="Arial" w:hAnsi="Arial" w:cs="Arial"/>
          <w:color w:val="000000"/>
          <w:sz w:val="22"/>
          <w:szCs w:val="22"/>
          <w:lang w:eastAsia="fi-FI"/>
          <w14:ligatures w14:val="none"/>
        </w:rPr>
        <w:softHyphen/>
      </w:r>
      <w:r>
        <w:rPr>
          <w:rFonts w:ascii="Arial" w:hAnsi="Arial" w:cs="Arial"/>
          <w:color w:val="000000"/>
          <w:sz w:val="22"/>
          <w:szCs w:val="22"/>
          <w:lang w:eastAsia="fi-FI"/>
          <w14:ligatures w14:val="none"/>
        </w:rPr>
        <w:softHyphen/>
      </w:r>
      <w:r>
        <w:rPr>
          <w:rFonts w:ascii="Arial" w:hAnsi="Arial" w:cs="Arial"/>
          <w:color w:val="000000"/>
          <w:sz w:val="22"/>
          <w:szCs w:val="22"/>
          <w:lang w:eastAsia="fi-FI"/>
          <w14:ligatures w14:val="none"/>
        </w:rPr>
        <w:softHyphen/>
      </w:r>
      <w:r>
        <w:rPr>
          <w:rFonts w:ascii="Arial" w:hAnsi="Arial" w:cs="Arial"/>
          <w:color w:val="000000"/>
          <w:sz w:val="22"/>
          <w:szCs w:val="22"/>
          <w:lang w:eastAsia="fi-FI"/>
          <w14:ligatures w14:val="none"/>
        </w:rPr>
        <w:softHyphen/>
      </w:r>
      <w:r>
        <w:rPr>
          <w:rFonts w:ascii="Arial" w:hAnsi="Arial" w:cs="Arial"/>
          <w:color w:val="000000"/>
          <w:sz w:val="22"/>
          <w:szCs w:val="22"/>
          <w:lang w:eastAsia="fi-FI"/>
          <w14:ligatures w14:val="none"/>
        </w:rPr>
        <w:softHyphen/>
      </w:r>
      <w:r>
        <w:rPr>
          <w:rFonts w:ascii="Arial" w:hAnsi="Arial" w:cs="Arial"/>
          <w:color w:val="000000"/>
          <w:sz w:val="22"/>
          <w:szCs w:val="22"/>
          <w:lang w:eastAsia="fi-FI"/>
          <w14:ligatures w14:val="none"/>
        </w:rPr>
        <w:softHyphen/>
      </w:r>
      <w:r>
        <w:rPr>
          <w:rFonts w:ascii="Arial" w:hAnsi="Arial" w:cs="Arial"/>
          <w:color w:val="000000"/>
          <w:sz w:val="22"/>
          <w:szCs w:val="22"/>
          <w:lang w:eastAsia="fi-FI"/>
          <w14:ligatures w14:val="none"/>
        </w:rPr>
        <w:softHyphen/>
      </w:r>
      <w:r>
        <w:rPr>
          <w:rFonts w:ascii="Arial" w:hAnsi="Arial" w:cs="Arial"/>
          <w:color w:val="000000"/>
          <w:sz w:val="22"/>
          <w:szCs w:val="22"/>
          <w:lang w:eastAsia="fi-FI"/>
          <w14:ligatures w14:val="none"/>
        </w:rPr>
        <w:softHyphen/>
      </w:r>
      <w:r>
        <w:rPr>
          <w:rFonts w:ascii="Arial" w:hAnsi="Arial" w:cs="Arial"/>
          <w:color w:val="000000"/>
          <w:sz w:val="22"/>
          <w:szCs w:val="22"/>
          <w:lang w:eastAsia="fi-FI"/>
          <w14:ligatures w14:val="none"/>
        </w:rPr>
        <w:softHyphen/>
      </w:r>
      <w:r>
        <w:rPr>
          <w:rFonts w:ascii="Arial" w:hAnsi="Arial" w:cs="Arial"/>
          <w:color w:val="000000"/>
          <w:sz w:val="22"/>
          <w:szCs w:val="22"/>
          <w:lang w:eastAsia="fi-FI"/>
          <w14:ligatures w14:val="none"/>
        </w:rPr>
        <w:softHyphen/>
      </w:r>
      <w:r>
        <w:rPr>
          <w:rFonts w:ascii="Arial" w:hAnsi="Arial" w:cs="Arial"/>
          <w:color w:val="000000"/>
          <w:sz w:val="22"/>
          <w:szCs w:val="22"/>
          <w:lang w:eastAsia="fi-FI"/>
          <w14:ligatures w14:val="none"/>
        </w:rPr>
        <w:softHyphen/>
      </w:r>
      <w:r>
        <w:rPr>
          <w:rFonts w:ascii="Arial" w:hAnsi="Arial" w:cs="Arial"/>
          <w:color w:val="000000"/>
          <w:sz w:val="22"/>
          <w:szCs w:val="22"/>
          <w:lang w:eastAsia="fi-FI"/>
          <w14:ligatures w14:val="none"/>
        </w:rPr>
        <w:softHyphen/>
      </w:r>
      <w:r>
        <w:rPr>
          <w:rFonts w:ascii="Arial" w:hAnsi="Arial" w:cs="Arial"/>
          <w:color w:val="000000"/>
          <w:sz w:val="22"/>
          <w:szCs w:val="22"/>
          <w:lang w:eastAsia="fi-FI"/>
          <w14:ligatures w14:val="none"/>
        </w:rPr>
        <w:softHyphen/>
      </w:r>
      <w:r>
        <w:rPr>
          <w:rFonts w:ascii="Arial" w:hAnsi="Arial" w:cs="Arial"/>
          <w:color w:val="000000"/>
          <w:sz w:val="22"/>
          <w:szCs w:val="22"/>
          <w:lang w:eastAsia="fi-FI"/>
          <w14:ligatures w14:val="none"/>
        </w:rPr>
        <w:softHyphen/>
      </w:r>
      <w:r>
        <w:rPr>
          <w:rFonts w:ascii="Arial" w:hAnsi="Arial" w:cs="Arial"/>
          <w:color w:val="000000"/>
          <w:sz w:val="22"/>
          <w:szCs w:val="22"/>
          <w:lang w:eastAsia="fi-FI"/>
          <w14:ligatures w14:val="none"/>
        </w:rPr>
        <w:softHyphen/>
        <w:t>_______________________________</w:t>
      </w:r>
    </w:p>
    <w:p w14:paraId="1243E277" w14:textId="77777777" w:rsidR="00F85E6F" w:rsidRDefault="00F85E6F" w:rsidP="00F85E6F">
      <w:pPr>
        <w:spacing w:before="240" w:after="240" w:line="240" w:lineRule="auto"/>
        <w:rPr>
          <w:rFonts w:ascii="Times New Roman" w:hAnsi="Times New Roman" w:cs="Times New Roman"/>
          <w:lang w:eastAsia="fi-FI"/>
          <w14:ligatures w14:val="none"/>
        </w:rPr>
      </w:pPr>
      <w:r>
        <w:rPr>
          <w:rFonts w:ascii="Arial" w:hAnsi="Arial" w:cs="Arial"/>
          <w:color w:val="000000"/>
          <w:sz w:val="22"/>
          <w:szCs w:val="22"/>
          <w:lang w:eastAsia="fi-FI"/>
          <w14:ligatures w14:val="none"/>
        </w:rPr>
        <w:t>Lotta Hamari (SD)</w:t>
      </w:r>
    </w:p>
    <w:p w14:paraId="5153AFF8" w14:textId="77777777" w:rsidR="00F85E6F" w:rsidRDefault="00F85E6F" w:rsidP="00F85E6F">
      <w:pPr>
        <w:spacing w:before="240" w:after="240" w:line="240" w:lineRule="auto"/>
        <w:rPr>
          <w:rFonts w:ascii="Times New Roman" w:hAnsi="Times New Roman" w:cs="Times New Roman"/>
          <w:lang w:eastAsia="fi-FI"/>
          <w14:ligatures w14:val="none"/>
        </w:rPr>
      </w:pPr>
      <w:r>
        <w:rPr>
          <w:rFonts w:ascii="Arial" w:hAnsi="Arial" w:cs="Arial"/>
          <w:color w:val="000000"/>
          <w:sz w:val="22"/>
          <w:szCs w:val="22"/>
          <w:lang w:eastAsia="fi-FI"/>
          <w14:ligatures w14:val="none"/>
        </w:rPr>
        <w:t> </w:t>
      </w:r>
    </w:p>
    <w:p w14:paraId="6DC6D737" w14:textId="6A67DFC7" w:rsidR="00F85E6F" w:rsidRPr="00F85E6F" w:rsidRDefault="00F85E6F" w:rsidP="00F85E6F">
      <w:pPr>
        <w:spacing w:before="240" w:after="240" w:line="240" w:lineRule="auto"/>
        <w:rPr>
          <w:rFonts w:ascii="Times New Roman" w:hAnsi="Times New Roman" w:cs="Times New Roman"/>
          <w:lang w:eastAsia="fi-FI"/>
          <w14:ligatures w14:val="none"/>
        </w:rPr>
      </w:pPr>
      <w:r>
        <w:rPr>
          <w:rFonts w:ascii="Arial" w:hAnsi="Arial" w:cs="Arial"/>
          <w:color w:val="000000"/>
          <w:sz w:val="22"/>
          <w:szCs w:val="22"/>
          <w:lang w:eastAsia="fi-FI"/>
          <w14:ligatures w14:val="none"/>
        </w:rPr>
        <w:t>Muut allekirjoittajat nimenselvennyksineen:</w:t>
      </w:r>
    </w:p>
    <w:sectPr w:rsidR="00F85E6F" w:rsidRPr="00F85E6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E6F"/>
    <w:rsid w:val="00F85E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08A6B"/>
  <w15:chartTrackingRefBased/>
  <w15:docId w15:val="{F152102A-9AAE-4048-99C5-F7ED655E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85E6F"/>
    <w:pPr>
      <w:spacing w:line="276" w:lineRule="auto"/>
    </w:pPr>
    <w:rPr>
      <w:rFonts w:ascii="Aptos" w:hAnsi="Aptos" w:cs="Calibri"/>
      <w:kern w:val="0"/>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6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3599</Characters>
  <Application>Microsoft Office Word</Application>
  <DocSecurity>0</DocSecurity>
  <Lines>29</Lines>
  <Paragraphs>8</Paragraphs>
  <ScaleCrop>false</ScaleCrop>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Immonen Ella</dc:creator>
  <cp:keywords/>
  <dc:description/>
  <cp:lastModifiedBy>Immonen Ella</cp:lastModifiedBy>
  <cp:revision>1</cp:revision>
  <dcterms:created xsi:type="dcterms:W3CDTF">2024-04-19T08:47:00Z</dcterms:created>
  <dcterms:modified xsi:type="dcterms:W3CDTF">2024-04-19T08:48:00Z</dcterms:modified>
</cp:coreProperties>
</file>