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86BE8" w14:textId="581F6CB6" w:rsidR="00F85096" w:rsidRPr="00C15FAC" w:rsidRDefault="007E1B4D" w:rsidP="001E3508">
      <w:pPr>
        <w:pStyle w:val="Otsikko1"/>
      </w:pPr>
      <w:r>
        <w:t xml:space="preserve">Pitkäaikaisena sijoittajana palkittu Sandvik </w:t>
      </w:r>
      <w:r w:rsidR="0008250F">
        <w:t xml:space="preserve">investoi </w:t>
      </w:r>
      <w:r w:rsidR="00A028FB">
        <w:t>älykkäämpään, turvallisempaan</w:t>
      </w:r>
      <w:r w:rsidR="0008250F">
        <w:t xml:space="preserve"> ja kestävämpään kaivostoimintaan</w:t>
      </w:r>
    </w:p>
    <w:p w14:paraId="19BD345E" w14:textId="1AAAAFD0" w:rsidR="00062C85" w:rsidRDefault="00062C85" w:rsidP="00062C85">
      <w:pPr>
        <w:rPr>
          <w:b/>
          <w:bCs/>
        </w:rPr>
      </w:pPr>
      <w:r w:rsidRPr="00062C85">
        <w:rPr>
          <w:b/>
          <w:bCs/>
        </w:rPr>
        <w:t>Sandvik avasi kesäkuussa uuden linjan maanpäällisten porauslaitteiden valmistukseen Tampereella, ja yhtiö on palkannut</w:t>
      </w:r>
      <w:r w:rsidR="00431084">
        <w:rPr>
          <w:b/>
          <w:bCs/>
        </w:rPr>
        <w:t xml:space="preserve"> tänä vuonna</w:t>
      </w:r>
      <w:r w:rsidR="00AF4C92">
        <w:rPr>
          <w:b/>
          <w:bCs/>
        </w:rPr>
        <w:t xml:space="preserve"> noin 300 uutta työntekijää</w:t>
      </w:r>
      <w:r w:rsidRPr="00062C85">
        <w:rPr>
          <w:b/>
          <w:bCs/>
        </w:rPr>
        <w:t xml:space="preserve"> ja palkkaa vuoden loppuun mennessä </w:t>
      </w:r>
      <w:r w:rsidR="00AF4C92">
        <w:rPr>
          <w:b/>
          <w:bCs/>
        </w:rPr>
        <w:t>vielä</w:t>
      </w:r>
      <w:r w:rsidR="000F2B0D">
        <w:rPr>
          <w:b/>
          <w:bCs/>
        </w:rPr>
        <w:t xml:space="preserve"> </w:t>
      </w:r>
      <w:r w:rsidRPr="00062C85">
        <w:rPr>
          <w:b/>
          <w:bCs/>
        </w:rPr>
        <w:t>uu</w:t>
      </w:r>
      <w:r w:rsidR="00431084">
        <w:rPr>
          <w:b/>
          <w:bCs/>
        </w:rPr>
        <w:t>sia</w:t>
      </w:r>
      <w:r w:rsidRPr="00062C85">
        <w:rPr>
          <w:b/>
          <w:bCs/>
        </w:rPr>
        <w:t xml:space="preserve"> työntekij</w:t>
      </w:r>
      <w:r w:rsidR="00431084">
        <w:rPr>
          <w:b/>
          <w:bCs/>
        </w:rPr>
        <w:t>öitä</w:t>
      </w:r>
      <w:r w:rsidRPr="00062C85">
        <w:rPr>
          <w:b/>
          <w:bCs/>
        </w:rPr>
        <w:t xml:space="preserve"> vahvistamaan kasvavaa liiketoimintaa. </w:t>
      </w:r>
      <w:r w:rsidR="00803326" w:rsidRPr="00062C85">
        <w:rPr>
          <w:b/>
          <w:bCs/>
        </w:rPr>
        <w:t>Sandvik on sijoittanut Suomen</w:t>
      </w:r>
      <w:r w:rsidR="001E27D7">
        <w:rPr>
          <w:b/>
          <w:bCs/>
        </w:rPr>
        <w:t xml:space="preserve"> tehtaisiin</w:t>
      </w:r>
      <w:r w:rsidR="00803326" w:rsidRPr="00062C85">
        <w:rPr>
          <w:b/>
          <w:bCs/>
        </w:rPr>
        <w:t xml:space="preserve"> yli 170 miljoonaa euroa</w:t>
      </w:r>
      <w:r w:rsidR="001E27D7">
        <w:rPr>
          <w:b/>
          <w:bCs/>
        </w:rPr>
        <w:t xml:space="preserve"> viime vuosina</w:t>
      </w:r>
      <w:r w:rsidR="00803326" w:rsidRPr="00062C85">
        <w:rPr>
          <w:b/>
          <w:bCs/>
        </w:rPr>
        <w:t xml:space="preserve">. </w:t>
      </w:r>
      <w:r w:rsidR="00DF1C25" w:rsidRPr="00DF1C25">
        <w:rPr>
          <w:b/>
          <w:bCs/>
        </w:rPr>
        <w:t>Sandvikin asiakkaita ovat globaalit kaivosyhtiöt sekä urakoitsijat yli 150 maassa.</w:t>
      </w:r>
      <w:r w:rsidR="00DF1C25">
        <w:rPr>
          <w:b/>
          <w:bCs/>
        </w:rPr>
        <w:t xml:space="preserve"> </w:t>
      </w:r>
      <w:r w:rsidR="00962070">
        <w:rPr>
          <w:b/>
          <w:bCs/>
        </w:rPr>
        <w:t>Tasavallan presidentti palkitsi yrityksen</w:t>
      </w:r>
      <w:r w:rsidR="00BD349B">
        <w:rPr>
          <w:b/>
          <w:bCs/>
        </w:rPr>
        <w:t xml:space="preserve"> vuotuisella kansainvälistymispalkinnolla 14.11.2025 pitkäaikaisen sijoittajan sarjassa.</w:t>
      </w:r>
    </w:p>
    <w:p w14:paraId="5878788E" w14:textId="77499FB6" w:rsidR="003E59D3" w:rsidRPr="00062C85" w:rsidRDefault="003E59D3" w:rsidP="00062C85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E810DE3" wp14:editId="220E4AB8">
            <wp:extent cx="6120130" cy="4012565"/>
            <wp:effectExtent l="0" t="0" r="0" b="6985"/>
            <wp:docPr id="785503592" name="Kuva 1" descr="Kuva, joka sisältää kohteen vaate, henkilö, Ihmisen kasvot, Juhla-as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503592" name="Kuva 1" descr="Kuva, joka sisältää kohteen vaate, henkilö, Ihmisen kasvot, Juhla-asu&#10;&#10;Tekoälyllä luotu sisältö voi olla virheellistä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1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79B60" w14:textId="77777777" w:rsidR="00627844" w:rsidRDefault="00B510A8" w:rsidP="00EF44A6">
      <w:r w:rsidRPr="00C15FAC">
        <w:t xml:space="preserve">Kaivosteollisuus on murrosvaiheessa: tuottavuuden, turvallisuuden ja kestävyyden vaatimukset kasvavat samaan aikaan, kun malmipitoisuudet laskevat ja paine pienentää päästöjä kasvaa. </w:t>
      </w:r>
    </w:p>
    <w:p w14:paraId="2CF992E9" w14:textId="29527AE7" w:rsidR="00EF44A6" w:rsidRDefault="00B510A8" w:rsidP="00EF44A6">
      <w:r w:rsidRPr="00C15FAC">
        <w:t xml:space="preserve">Sandvik tarjoaa asiakkailleen laitteita ja ratkaisuja, mitkä mahdollistavat tuottavamman ja turvallisemman kaivostoiminnan pienemmillä ympäristövaikutuksilla. </w:t>
      </w:r>
      <w:r w:rsidR="00017C41" w:rsidRPr="00017C41">
        <w:t xml:space="preserve">Tavoitteena </w:t>
      </w:r>
      <w:r w:rsidR="00594995">
        <w:t xml:space="preserve">on </w:t>
      </w:r>
      <w:r w:rsidR="006519D9" w:rsidRPr="000F2B0D">
        <w:t>nollapäästöinen ja automatisoitu kaivosteollisuus</w:t>
      </w:r>
      <w:r w:rsidR="00594995">
        <w:t>.</w:t>
      </w:r>
      <w:r w:rsidR="006519D9" w:rsidRPr="000F2B0D">
        <w:t xml:space="preserve"> Sandvik on alan teknologinen edelläkävijä erityisesti automaation, digitalisaation ja sähköistymisen alueilla</w:t>
      </w:r>
      <w:r w:rsidR="00EF44A6">
        <w:t>.</w:t>
      </w:r>
    </w:p>
    <w:p w14:paraId="32D9CD1F" w14:textId="71475BFE" w:rsidR="006519D9" w:rsidRPr="000F2B0D" w:rsidRDefault="00431084" w:rsidP="006519D9">
      <w:r w:rsidRPr="000F2B0D">
        <w:t>Sandvik tarjoaa tuotteita, jotka kattavat koko maanalaisen kaivostoiminnan arvoketjun. Suomessa kehitettävät ja valmistettavat tuotteet ovat</w:t>
      </w:r>
      <w:r w:rsidR="006519D9" w:rsidRPr="000F2B0D">
        <w:t xml:space="preserve"> maanalaiset ja maanpäälliset porauslaitteet, lastaus- ja kuljetuslaitteet, hydrauliset iskuvasarat, ohjelmistot ja palvelut, jotka optimoivat koko kaivosprosessin malminlouhinnasta kunnossapitoon.</w:t>
      </w:r>
    </w:p>
    <w:p w14:paraId="03AFA020" w14:textId="2504A036" w:rsidR="00B510A8" w:rsidRPr="00C15FAC" w:rsidRDefault="00B510A8" w:rsidP="00B076DE">
      <w:r w:rsidRPr="00C15FAC">
        <w:lastRenderedPageBreak/>
        <w:t>Sandvikin ratkaisut</w:t>
      </w:r>
      <w:r w:rsidR="00F403D0" w:rsidRPr="00C15FAC">
        <w:t xml:space="preserve">, </w:t>
      </w:r>
      <w:r w:rsidRPr="00C15FAC">
        <w:t xml:space="preserve">kuten </w:t>
      </w:r>
      <w:proofErr w:type="spellStart"/>
      <w:r w:rsidRPr="00B076DE">
        <w:t>AutoMine</w:t>
      </w:r>
      <w:proofErr w:type="spellEnd"/>
      <w:r w:rsidRPr="00B076DE">
        <w:t>®-automaatioteknologiat, sähköiset kaivoslaitteet ja</w:t>
      </w:r>
      <w:r w:rsidRPr="00B076DE">
        <w:rPr>
          <w:b/>
          <w:bCs/>
        </w:rPr>
        <w:t xml:space="preserve"> </w:t>
      </w:r>
      <w:proofErr w:type="spellStart"/>
      <w:r w:rsidRPr="00B076DE">
        <w:t>Deswik</w:t>
      </w:r>
      <w:proofErr w:type="spellEnd"/>
      <w:r w:rsidRPr="00B076DE">
        <w:t>®-ohjelmistot</w:t>
      </w:r>
      <w:r w:rsidR="00F403D0" w:rsidRPr="00C15FAC">
        <w:t>,</w:t>
      </w:r>
      <w:r w:rsidRPr="00C15FAC">
        <w:t xml:space="preserve"> muodostavat integroidun järjestelmän, jossa kaivoksen kaikki toiminnot voidaan hallita yhdestä datalähtöisestä ekosysteemistä.</w:t>
      </w:r>
    </w:p>
    <w:p w14:paraId="1662BEEC" w14:textId="716D2F24" w:rsidR="001E3508" w:rsidRPr="001C7098" w:rsidRDefault="008A0BCB" w:rsidP="001C7098">
      <w:pPr>
        <w:pStyle w:val="Otsikko2"/>
      </w:pPr>
      <w:r w:rsidRPr="001C7098">
        <w:t xml:space="preserve">Sandvik </w:t>
      </w:r>
      <w:r w:rsidR="004A5443" w:rsidRPr="001C7098">
        <w:t xml:space="preserve">Suomen </w:t>
      </w:r>
      <w:r w:rsidR="00B40330" w:rsidRPr="001C7098">
        <w:t>tutkimus- ja kehitystoiminnasta</w:t>
      </w:r>
      <w:r w:rsidRPr="001C7098">
        <w:t xml:space="preserve"> on kasvanut globaali</w:t>
      </w:r>
      <w:r w:rsidR="00A67AE7" w:rsidRPr="001C7098">
        <w:t xml:space="preserve"> teknologiakeskus</w:t>
      </w:r>
      <w:r w:rsidR="00BF4856">
        <w:t xml:space="preserve"> ja tuotanto</w:t>
      </w:r>
      <w:r w:rsidR="009C5D12">
        <w:t>tehdas</w:t>
      </w:r>
    </w:p>
    <w:p w14:paraId="293D32BC" w14:textId="4563AF33" w:rsidR="00C24EFB" w:rsidRPr="00DD6ED6" w:rsidRDefault="00F403D0" w:rsidP="00C24EFB">
      <w:r w:rsidRPr="00C15FAC">
        <w:t>Sandvik on yli 160-vuotias ruotsalainen teollisuusyritys, jonka juuret ovat teräksen ja työ</w:t>
      </w:r>
      <w:r w:rsidR="00C35075">
        <w:t>stö</w:t>
      </w:r>
      <w:r w:rsidRPr="00C15FAC">
        <w:t>teknologian kehittämisessä.</w:t>
      </w:r>
      <w:r w:rsidR="00180063">
        <w:t xml:space="preserve"> Sandvik Mining and Construction Oy on osa kansainvälistä Sandvik-konsernia. </w:t>
      </w:r>
      <w:r w:rsidR="00C24EFB" w:rsidRPr="00DD6ED6">
        <w:t>Sandvik on tänä</w:t>
      </w:r>
      <w:r w:rsidR="00C429E5">
        <w:t xml:space="preserve"> päivänä</w:t>
      </w:r>
      <w:r w:rsidR="00C24EFB" w:rsidRPr="00DD6ED6">
        <w:t xml:space="preserve"> yksi maailman johtavista kaivosalan teknologiayhtiöistä.</w:t>
      </w:r>
    </w:p>
    <w:p w14:paraId="2F768708" w14:textId="5C41AACF" w:rsidR="001E3508" w:rsidRDefault="00F403D0" w:rsidP="001E3508">
      <w:r w:rsidRPr="00C15FAC">
        <w:t xml:space="preserve">Suomen kaivosliiketoiminnan tarina alkoi Tampereella 1970-luvulla, kun yhtiö perusti </w:t>
      </w:r>
      <w:r w:rsidRPr="00C15FAC">
        <w:rPr>
          <w:b/>
          <w:bCs/>
        </w:rPr>
        <w:t>k</w:t>
      </w:r>
      <w:r w:rsidRPr="00C15FAC">
        <w:t xml:space="preserve">allioporauslaitteiden tuotekehityksen ja tuotannon. Sandvik </w:t>
      </w:r>
      <w:r w:rsidR="006C2BB6" w:rsidRPr="00C15FAC">
        <w:t>valmistaa</w:t>
      </w:r>
      <w:r w:rsidRPr="00C15FAC">
        <w:t>, kehittää ja testaa maailman johtavia ratkaisuja maanpäälliseen ja maanalaisen kaivostoiminnan automatisointiin, digitalisointiin ja sähköistymiseen.</w:t>
      </w:r>
      <w:r w:rsidR="009C5D12">
        <w:t xml:space="preserve"> </w:t>
      </w:r>
      <w:r w:rsidRPr="00C15FAC">
        <w:t>Useat Sandvikin nykyiset innovaatiot, kuten ensimmäiset täysin autonomiset kaivoslaitteet, ovat syntyneet juuri Suomen tutkimus- ja kehitystiimien työn tuloksena.</w:t>
      </w:r>
    </w:p>
    <w:p w14:paraId="01F5A2DF" w14:textId="60816606" w:rsidR="00F403D0" w:rsidRPr="00DD6ED6" w:rsidRDefault="006C2BB6" w:rsidP="00DD6ED6">
      <w:r>
        <w:t>Sandvikilla</w:t>
      </w:r>
      <w:r w:rsidRPr="00DD6ED6">
        <w:t xml:space="preserve"> </w:t>
      </w:r>
      <w:r w:rsidR="00F403D0" w:rsidRPr="00DD6ED6">
        <w:t xml:space="preserve">on toimintaa yli 150 maassa, </w:t>
      </w:r>
      <w:r w:rsidR="00A7789D">
        <w:t xml:space="preserve">yli 90 prosenttia </w:t>
      </w:r>
      <w:r>
        <w:t xml:space="preserve">Suomen </w:t>
      </w:r>
      <w:r w:rsidR="00A7789D">
        <w:t xml:space="preserve">tuotannosta suuntautuu Suomen ulkopuolelle. </w:t>
      </w:r>
      <w:r w:rsidR="00F403D0" w:rsidRPr="00DD6ED6">
        <w:t>Suomen toiminnot työllistävät yli 2 500 henkilöä. Suomessa kehitetyt teknologiat, erityisesti automaatio, digitalisaatio ja sähköiset kaivoslaitteet, ovat käytössä maailman suurimmissa kaivoksissa kaikilla mantereilla.</w:t>
      </w:r>
    </w:p>
    <w:p w14:paraId="4F9F3BF1" w14:textId="435696BB" w:rsidR="001E3508" w:rsidRPr="00AE6478" w:rsidRDefault="00870AA8" w:rsidP="00AE6478">
      <w:pPr>
        <w:pStyle w:val="Otsikko2"/>
      </w:pPr>
      <w:r w:rsidRPr="00AE6478">
        <w:t>Business Finlandin</w:t>
      </w:r>
      <w:r w:rsidR="00B81487" w:rsidRPr="00AE6478">
        <w:t xml:space="preserve"> rahoitus tutkimus- ja tuotekehitystoimintaan on </w:t>
      </w:r>
      <w:r w:rsidR="00F131AF" w:rsidRPr="00AE6478">
        <w:t xml:space="preserve">hyödyttänyt </w:t>
      </w:r>
      <w:r w:rsidR="00214942" w:rsidRPr="00AE6478">
        <w:t xml:space="preserve">laajasti myös alihankkijaverkostoa ja </w:t>
      </w:r>
      <w:r w:rsidR="001C7098">
        <w:t xml:space="preserve">koko </w:t>
      </w:r>
      <w:r w:rsidR="00214942" w:rsidRPr="00AE6478">
        <w:t>ekosysteemiä</w:t>
      </w:r>
    </w:p>
    <w:p w14:paraId="44DF59DF" w14:textId="77777777" w:rsidR="000F2B0D" w:rsidRDefault="00F403D0" w:rsidP="001E3508">
      <w:r w:rsidRPr="00C15FAC">
        <w:t>Sandvik tekee tiivistä yhteistyötä Business Finlandin kanssa tutkimus- ja kehitystoiminnan eri projekteissa ja hankkeissa.</w:t>
      </w:r>
      <w:r w:rsidR="00D7379F">
        <w:t xml:space="preserve"> </w:t>
      </w:r>
      <w:r w:rsidRPr="00C15FAC">
        <w:t xml:space="preserve">Vuonna 2025 käynnistetty </w:t>
      </w:r>
      <w:r w:rsidR="006C2BB6" w:rsidRPr="00C15FAC">
        <w:t xml:space="preserve">Sandvikin uusin teknologiaohjelma </w:t>
      </w:r>
      <w:r w:rsidR="006C2BB6" w:rsidRPr="00B076DE">
        <w:t>DataDrive’31</w:t>
      </w:r>
      <w:r w:rsidR="006C2BB6" w:rsidRPr="00C15FAC">
        <w:t xml:space="preserve"> on kuusivuotinen, 80 miljoonan euron panostus, jonka tavoitteena on kehittää </w:t>
      </w:r>
      <w:r w:rsidR="006C2BB6" w:rsidRPr="00B076DE">
        <w:t>datavetoisia teknologioita</w:t>
      </w:r>
      <w:r w:rsidR="006C2BB6" w:rsidRPr="00C15FAC">
        <w:t xml:space="preserve"> koko kaivostoiminnan arvoketjuun. </w:t>
      </w:r>
      <w:r w:rsidR="006C2BB6">
        <w:t>T</w:t>
      </w:r>
      <w:r w:rsidR="006C2BB6" w:rsidRPr="00C15FAC">
        <w:t xml:space="preserve">eknologiaohjelma saa </w:t>
      </w:r>
      <w:r w:rsidR="00431084">
        <w:t>ensimmäisen kolmen vuoden aikana 16</w:t>
      </w:r>
      <w:r w:rsidR="006C2BB6" w:rsidRPr="00C15FAC">
        <w:t xml:space="preserve"> miljoonan euron tutkimus- ja kehitysrahoituksen Business Finlandilta</w:t>
      </w:r>
      <w:r w:rsidR="006C2BB6">
        <w:t xml:space="preserve">. </w:t>
      </w:r>
      <w:r w:rsidR="006C2BB6" w:rsidRPr="00C15FAC">
        <w:t>Ohjelma hyödyntää tekoälyä, analytiikkaa ja reaaliaikaista dataa tuottavuuden, turvallisuuden ja kestävyyden parantamiseksi.</w:t>
      </w:r>
      <w:r w:rsidR="000F2B0D">
        <w:t xml:space="preserve"> </w:t>
      </w:r>
      <w:r w:rsidRPr="00C15FAC">
        <w:t xml:space="preserve">Aiemmin päättynyt Shift25-ohjelma toteutettiin myös yhteistyössä Business Finlandin ja suomalaisen ekosysteemiverkoston kanssa. </w:t>
      </w:r>
    </w:p>
    <w:p w14:paraId="6D263260" w14:textId="7CBEF58F" w:rsidR="009449EF" w:rsidRDefault="00F403D0" w:rsidP="001E3508">
      <w:r w:rsidRPr="00C15FAC">
        <w:t>Nämä ohjelmat ovat auttaneet Sandvikia kiihdyttämään digitalisaation, automaation ja sähköistämisen kehitystyötä</w:t>
      </w:r>
      <w:r w:rsidR="006C2BB6">
        <w:t xml:space="preserve">. Ohjelmista </w:t>
      </w:r>
      <w:r w:rsidRPr="00C15FAC">
        <w:t xml:space="preserve">hyötyvät </w:t>
      </w:r>
      <w:r w:rsidR="006C2BB6">
        <w:t xml:space="preserve">laajasti </w:t>
      </w:r>
      <w:r w:rsidR="003719F7">
        <w:t xml:space="preserve">suomalainen teollisuus, </w:t>
      </w:r>
      <w:r w:rsidRPr="00C15FAC">
        <w:t>kaikki alihankkijat ja ekosysteemin verkostot Suomessa, Sandvikin Suomen yksiköt ja koko Mining-liiketoiminta-alue.</w:t>
      </w:r>
    </w:p>
    <w:p w14:paraId="35E52A9D" w14:textId="496C15FC" w:rsidR="001E3508" w:rsidRPr="00C15FAC" w:rsidRDefault="00F403D0" w:rsidP="001E3508">
      <w:r w:rsidRPr="00C15FAC">
        <w:t xml:space="preserve">Sandvik osallistuu </w:t>
      </w:r>
      <w:r w:rsidR="0090051A">
        <w:t xml:space="preserve">myös </w:t>
      </w:r>
      <w:r w:rsidRPr="00C15FAC">
        <w:t xml:space="preserve">moneen suomalaiseen teknologian kehitys- ja edistämishankkeisiin, kuten </w:t>
      </w:r>
      <w:r w:rsidR="00B85D32" w:rsidRPr="00C15FAC">
        <w:t>Akkualan kansallinen yhteistyöelin</w:t>
      </w:r>
      <w:r w:rsidRPr="00C15FAC">
        <w:t xml:space="preserve">, </w:t>
      </w:r>
      <w:r w:rsidR="00B85D32" w:rsidRPr="00C15FAC">
        <w:t xml:space="preserve">SIX Mobile </w:t>
      </w:r>
      <w:proofErr w:type="spellStart"/>
      <w:r w:rsidR="00B85D32" w:rsidRPr="00C15FAC">
        <w:t>Work</w:t>
      </w:r>
      <w:proofErr w:type="spellEnd"/>
      <w:r w:rsidR="00B85D32" w:rsidRPr="00C15FAC">
        <w:t xml:space="preserve"> Machines </w:t>
      </w:r>
      <w:proofErr w:type="spellStart"/>
      <w:r w:rsidR="00B85D32" w:rsidRPr="00C15FAC">
        <w:t>cluster</w:t>
      </w:r>
      <w:proofErr w:type="spellEnd"/>
      <w:r w:rsidR="00B85D32" w:rsidRPr="00C15FAC">
        <w:t xml:space="preserve"> </w:t>
      </w:r>
      <w:r w:rsidRPr="00C15FAC">
        <w:t xml:space="preserve">ja valtiollisiin </w:t>
      </w:r>
      <w:r w:rsidR="008212D9" w:rsidRPr="0008250F">
        <w:t xml:space="preserve">Team Finland </w:t>
      </w:r>
      <w:r w:rsidR="008212D9">
        <w:t>-</w:t>
      </w:r>
      <w:r w:rsidRPr="00C15FAC">
        <w:t>vienninedistämismatko</w:t>
      </w:r>
      <w:r w:rsidR="00B85D32" w:rsidRPr="00C15FAC">
        <w:t>ihin</w:t>
      </w:r>
      <w:r w:rsidRPr="00C15FAC">
        <w:t>.</w:t>
      </w:r>
    </w:p>
    <w:p w14:paraId="4E0B4F67" w14:textId="134EB616" w:rsidR="0077156B" w:rsidRDefault="00594995" w:rsidP="001E3508">
      <w:r>
        <w:t>Yritys</w:t>
      </w:r>
      <w:r w:rsidR="00B85D32" w:rsidRPr="00C15FAC">
        <w:t xml:space="preserve"> tekee yhteistyötä VTT:n, Tampereen yliopiston, Oulun yliopiston ja Aalto-yliopiston kanssa tutkimus- ja kehityshankkeissa. Sandvikilla osallistu</w:t>
      </w:r>
      <w:r w:rsidR="00102CDF">
        <w:t>u</w:t>
      </w:r>
      <w:r w:rsidR="00B85D32" w:rsidRPr="00C15FAC">
        <w:t xml:space="preserve"> myös teollisuuden tohtorikouluun ja tarjoaa lisäksi useita lopputyöpaikkoja. </w:t>
      </w:r>
    </w:p>
    <w:p w14:paraId="283B120F" w14:textId="77777777" w:rsidR="00071186" w:rsidRDefault="00B85D32" w:rsidP="001E3508">
      <w:r w:rsidRPr="00C15FAC">
        <w:lastRenderedPageBreak/>
        <w:t xml:space="preserve">Lisäksi Sandvik toimii tiiviissä verkostossa kotimaisten alihankkijoiden, </w:t>
      </w:r>
      <w:proofErr w:type="spellStart"/>
      <w:r w:rsidRPr="00C15FAC">
        <w:t>start-upien</w:t>
      </w:r>
      <w:proofErr w:type="spellEnd"/>
      <w:r w:rsidRPr="00C15FAC">
        <w:t xml:space="preserve"> ja teknologiayritysten kanssa, jotka kehittävät muun muassa ohjelmistoja, 5/6G-verkkoja (Nokia), anturiteknologiaa ja akkuteknologiaa.</w:t>
      </w:r>
    </w:p>
    <w:p w14:paraId="45ABD1A1" w14:textId="482BCC00" w:rsidR="00FB626D" w:rsidRPr="000F2B0D" w:rsidRDefault="00B85D32" w:rsidP="00FB626D">
      <w:r w:rsidRPr="00C15FAC">
        <w:t xml:space="preserve">Sandvikin Tampereen </w:t>
      </w:r>
      <w:r w:rsidR="00431084">
        <w:t xml:space="preserve">edistykselliset </w:t>
      </w:r>
      <w:r w:rsidRPr="00C15FAC">
        <w:t>testikaivosympäristö</w:t>
      </w:r>
      <w:r w:rsidR="00431084">
        <w:t>t</w:t>
      </w:r>
      <w:r w:rsidRPr="00C15FAC">
        <w:t xml:space="preserve"> </w:t>
      </w:r>
      <w:r w:rsidR="00FB626D" w:rsidRPr="000F2B0D">
        <w:t>mahdollista</w:t>
      </w:r>
      <w:r w:rsidR="00431084">
        <w:t>v</w:t>
      </w:r>
      <w:r w:rsidR="00FB626D" w:rsidRPr="000F2B0D">
        <w:t>a</w:t>
      </w:r>
      <w:r w:rsidR="00431084">
        <w:t>t</w:t>
      </w:r>
      <w:r w:rsidR="00FB626D" w:rsidRPr="000F2B0D">
        <w:t xml:space="preserve"> uusien ratkaisujen kehittämisen ja testaamisen todellisissa kaivosolosuhteissa yhteistyössä kumppaneiden ja ekosysteemin kanssa.</w:t>
      </w:r>
    </w:p>
    <w:p w14:paraId="6FBDF807" w14:textId="56F943A6" w:rsidR="000646E8" w:rsidRDefault="00ED0E4D" w:rsidP="00ED0E4D">
      <w:r>
        <w:t>– Suomi on Sandvikin kaivosteknologian datavetoisen valmistu</w:t>
      </w:r>
      <w:r w:rsidR="003C1F23">
        <w:t>ksen</w:t>
      </w:r>
      <w:r>
        <w:t>, tutkimu</w:t>
      </w:r>
      <w:r w:rsidR="003C1F23">
        <w:t>ksen</w:t>
      </w:r>
      <w:r>
        <w:t xml:space="preserve"> ja kehitystyön keskus. Täällä kehitetään ratkaisuja, jotka vievät koko toimialaa kohti älykkäämpää ja kestävämpää tulevaisuutta ja </w:t>
      </w:r>
      <w:r w:rsidR="008C5405">
        <w:t xml:space="preserve">vahvistavat </w:t>
      </w:r>
      <w:r>
        <w:t xml:space="preserve">Suomen asemaa kaivosteollisuuden innovaatiojohtajana, sanoo </w:t>
      </w:r>
      <w:r w:rsidRPr="00751D8D">
        <w:rPr>
          <w:b/>
          <w:bCs/>
        </w:rPr>
        <w:t>Mats Eriksson</w:t>
      </w:r>
      <w:r>
        <w:t>, Sandvik Mining liiketoiminta-alueen johtaja</w:t>
      </w:r>
      <w:r w:rsidR="00431084">
        <w:t xml:space="preserve"> ja Sandvik Mining and Construction Oy:n toimitusjohtaja</w:t>
      </w:r>
      <w:r>
        <w:t>.</w:t>
      </w:r>
    </w:p>
    <w:p w14:paraId="76FF9099" w14:textId="3ACDB677" w:rsidR="001243CD" w:rsidRPr="003E59D3" w:rsidRDefault="00BA6ABD" w:rsidP="00ED0E4D">
      <w:r w:rsidRPr="00D07BF6">
        <w:t>Sandvikin pitkäjänteiset investoinnit, tutkimus- ja kehitystyö sekä yhteistyö suomalaisten kumppaneiden kanssa ovat vahvistaneet Suomen asemaa kaivosteollisuuden ja teollisen digitalisaation edelläkävijänä</w:t>
      </w:r>
      <w:r w:rsidRPr="00AF6FEB">
        <w:t xml:space="preserve">. Sandvik </w:t>
      </w:r>
      <w:r w:rsidRPr="00D07BF6">
        <w:t xml:space="preserve">on </w:t>
      </w:r>
      <w:r w:rsidRPr="00AF6FEB">
        <w:t xml:space="preserve">hyvä </w:t>
      </w:r>
      <w:r w:rsidRPr="00D07BF6">
        <w:t>esimerkki siitä, miten pitkäaikainen sitoutuminen, teknologinen kehitys ja vastuullinen liiketoiminta tukevat koko yhteiskunnan kestävää kasvua</w:t>
      </w:r>
      <w:r>
        <w:t xml:space="preserve"> myös tulevaisuudessa</w:t>
      </w:r>
      <w:r w:rsidRPr="00D07BF6">
        <w:t>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644F" w14:paraId="2592A867" w14:textId="77777777" w:rsidTr="000A644F">
        <w:tc>
          <w:tcPr>
            <w:tcW w:w="9628" w:type="dxa"/>
          </w:tcPr>
          <w:p w14:paraId="6B3E363E" w14:textId="77777777" w:rsidR="000A644F" w:rsidRDefault="000A644F" w:rsidP="000A644F">
            <w:pPr>
              <w:pStyle w:val="Otsikko2"/>
            </w:pPr>
            <w:r w:rsidRPr="00370500">
              <w:t xml:space="preserve">Sandvik Mining </w:t>
            </w:r>
          </w:p>
          <w:p w14:paraId="4CB3CE6D" w14:textId="77777777" w:rsidR="000A644F" w:rsidRDefault="000A644F" w:rsidP="000A644F">
            <w:r w:rsidRPr="00370500">
              <w:t>on Sandvik-konserniin kuuluva liiketoiminta-alue, maailman johtava kaivos- ja urakointiteollisuuden laitteiden, varaosien, palveluiden, digitaalisten ratkaisujen ja kestävää kehitystä edistävien teknologioiden toimittaja.</w:t>
            </w:r>
          </w:p>
          <w:p w14:paraId="2D42E40C" w14:textId="77777777" w:rsidR="000A644F" w:rsidRPr="000A644F" w:rsidRDefault="000A644F" w:rsidP="000A644F"/>
          <w:p w14:paraId="22E9B374" w14:textId="77777777" w:rsidR="000A644F" w:rsidRPr="000A644F" w:rsidRDefault="000A644F" w:rsidP="000A644F">
            <w:pPr>
              <w:pStyle w:val="Luettelokappale"/>
              <w:numPr>
                <w:ilvl w:val="0"/>
                <w:numId w:val="5"/>
              </w:numPr>
            </w:pPr>
            <w:r w:rsidRPr="000A644F">
              <w:rPr>
                <w:b/>
                <w:bCs/>
              </w:rPr>
              <w:t>Työntekijöitä Suomessa:</w:t>
            </w:r>
            <w:r w:rsidRPr="00370500">
              <w:t xml:space="preserve"> noin 2 500, joista </w:t>
            </w:r>
          </w:p>
          <w:p w14:paraId="0ACC0A0A" w14:textId="77777777" w:rsidR="000A644F" w:rsidRPr="000A644F" w:rsidRDefault="000A644F" w:rsidP="000A644F">
            <w:pPr>
              <w:pStyle w:val="Luettelokappale"/>
              <w:numPr>
                <w:ilvl w:val="1"/>
                <w:numId w:val="5"/>
              </w:numPr>
            </w:pPr>
            <w:r w:rsidRPr="00370500">
              <w:t xml:space="preserve">Tampereella 1 500, </w:t>
            </w:r>
          </w:p>
          <w:p w14:paraId="2A69297A" w14:textId="77777777" w:rsidR="000A644F" w:rsidRPr="000A644F" w:rsidRDefault="000A644F" w:rsidP="000A644F">
            <w:pPr>
              <w:pStyle w:val="Luettelokappale"/>
              <w:numPr>
                <w:ilvl w:val="1"/>
                <w:numId w:val="5"/>
              </w:numPr>
            </w:pPr>
            <w:r w:rsidRPr="00370500">
              <w:t xml:space="preserve">Turussa 800, </w:t>
            </w:r>
          </w:p>
          <w:p w14:paraId="19A97410" w14:textId="77777777" w:rsidR="000A644F" w:rsidRPr="000A644F" w:rsidRDefault="000A644F" w:rsidP="000A644F">
            <w:pPr>
              <w:pStyle w:val="Luettelokappale"/>
              <w:numPr>
                <w:ilvl w:val="1"/>
                <w:numId w:val="5"/>
              </w:numPr>
            </w:pPr>
            <w:r w:rsidRPr="00370500">
              <w:t xml:space="preserve">Lahdessa 150 ja </w:t>
            </w:r>
          </w:p>
          <w:p w14:paraId="290306A3" w14:textId="1F68FC72" w:rsidR="000A644F" w:rsidRPr="00370500" w:rsidRDefault="000A644F" w:rsidP="000A644F">
            <w:pPr>
              <w:pStyle w:val="Luettelokappale"/>
              <w:numPr>
                <w:ilvl w:val="1"/>
                <w:numId w:val="5"/>
              </w:numPr>
            </w:pPr>
            <w:r w:rsidRPr="00370500">
              <w:t>myyntiorganisaatiossa noin 100.</w:t>
            </w:r>
          </w:p>
          <w:p w14:paraId="7422694A" w14:textId="77777777" w:rsidR="000A644F" w:rsidRPr="00370500" w:rsidRDefault="000A644F" w:rsidP="000A644F">
            <w:pPr>
              <w:pStyle w:val="Luettelokappale"/>
              <w:numPr>
                <w:ilvl w:val="0"/>
                <w:numId w:val="5"/>
              </w:numPr>
            </w:pPr>
            <w:r w:rsidRPr="000A644F">
              <w:rPr>
                <w:b/>
                <w:bCs/>
              </w:rPr>
              <w:t>Investoinnit:</w:t>
            </w:r>
            <w:r w:rsidRPr="00370500">
              <w:t xml:space="preserve"> yli 170 miljoonaa euroa Suomen tehtaisiin viime vuosina.</w:t>
            </w:r>
          </w:p>
          <w:p w14:paraId="672E200F" w14:textId="77777777" w:rsidR="000A644F" w:rsidRPr="00370500" w:rsidRDefault="000A644F" w:rsidP="000A644F">
            <w:pPr>
              <w:pStyle w:val="Luettelokappale"/>
              <w:numPr>
                <w:ilvl w:val="0"/>
                <w:numId w:val="5"/>
              </w:numPr>
            </w:pPr>
            <w:r w:rsidRPr="00370500">
              <w:t>Uusia työntekijöitä: tänä vuonna noin 300 palkattu, ja vuoden 2025 loppuun mennessä palkataan vielä lisää.</w:t>
            </w:r>
          </w:p>
          <w:p w14:paraId="6F90DA1B" w14:textId="77777777" w:rsidR="000A644F" w:rsidRPr="00370500" w:rsidRDefault="000A644F" w:rsidP="000A644F">
            <w:pPr>
              <w:pStyle w:val="Luettelokappale"/>
              <w:numPr>
                <w:ilvl w:val="0"/>
                <w:numId w:val="5"/>
              </w:numPr>
            </w:pPr>
            <w:r w:rsidRPr="000A644F">
              <w:rPr>
                <w:b/>
                <w:bCs/>
              </w:rPr>
              <w:t>Vienti:</w:t>
            </w:r>
            <w:r w:rsidRPr="00370500">
              <w:t xml:space="preserve"> yli 95 % tuotannosta suuntautuu Suomen ulkopuolelle.</w:t>
            </w:r>
          </w:p>
          <w:p w14:paraId="230C24E9" w14:textId="77777777" w:rsidR="000A644F" w:rsidRPr="00370500" w:rsidRDefault="000A644F" w:rsidP="000A644F">
            <w:pPr>
              <w:pStyle w:val="Luettelokappale"/>
              <w:numPr>
                <w:ilvl w:val="0"/>
                <w:numId w:val="5"/>
              </w:numPr>
            </w:pPr>
            <w:r w:rsidRPr="000A644F">
              <w:rPr>
                <w:b/>
                <w:bCs/>
              </w:rPr>
              <w:t>Päätoimipaikat:</w:t>
            </w:r>
            <w:r w:rsidRPr="00370500">
              <w:t xml:space="preserve"> Tampere (porauslaitteet ja testikaivos), Turku (lastaus- ja kuljetuslaitteet), Lahti (iskuvasarat, seulat ja syöttimet).</w:t>
            </w:r>
          </w:p>
          <w:p w14:paraId="23F0D616" w14:textId="77777777" w:rsidR="000A644F" w:rsidRPr="000A644F" w:rsidRDefault="000A644F" w:rsidP="000A644F">
            <w:pPr>
              <w:pStyle w:val="Luettelokappale"/>
              <w:numPr>
                <w:ilvl w:val="0"/>
                <w:numId w:val="5"/>
              </w:numPr>
              <w:rPr>
                <w:b/>
                <w:bCs/>
              </w:rPr>
            </w:pPr>
            <w:r w:rsidRPr="000A644F">
              <w:rPr>
                <w:b/>
                <w:bCs/>
              </w:rPr>
              <w:t>Tutkimus ja kehitys:</w:t>
            </w:r>
          </w:p>
          <w:p w14:paraId="6951E2DB" w14:textId="77777777" w:rsidR="000A644F" w:rsidRPr="000A644F" w:rsidRDefault="000A644F" w:rsidP="000A644F">
            <w:pPr>
              <w:pStyle w:val="Luettelokappale"/>
              <w:numPr>
                <w:ilvl w:val="1"/>
                <w:numId w:val="5"/>
              </w:numPr>
            </w:pPr>
            <w:r>
              <w:t>DataDrive’31-ohjelma: 80 miljoonan euron panostus datavetoisiin teknologioihin.</w:t>
            </w:r>
          </w:p>
          <w:p w14:paraId="0578D5BC" w14:textId="77777777" w:rsidR="000A644F" w:rsidRPr="000A644F" w:rsidRDefault="000A644F" w:rsidP="000A644F">
            <w:pPr>
              <w:pStyle w:val="Luettelokappale"/>
              <w:numPr>
                <w:ilvl w:val="1"/>
                <w:numId w:val="5"/>
              </w:numPr>
            </w:pPr>
            <w:r>
              <w:t>Kumppaneina mm. VTT, Tampereen yliopisto, Oulun yliopisto ja Aalto-yliopisto.</w:t>
            </w:r>
          </w:p>
          <w:p w14:paraId="3A46590D" w14:textId="77777777" w:rsidR="000A644F" w:rsidRPr="000A644F" w:rsidRDefault="000A644F" w:rsidP="00370500">
            <w:pPr>
              <w:pStyle w:val="Luettelokappale"/>
              <w:numPr>
                <w:ilvl w:val="0"/>
                <w:numId w:val="5"/>
              </w:numPr>
            </w:pPr>
            <w:r w:rsidRPr="000A644F">
              <w:rPr>
                <w:b/>
                <w:bCs/>
              </w:rPr>
              <w:t>Tavoite:</w:t>
            </w:r>
            <w:r w:rsidRPr="000A644F">
              <w:t xml:space="preserve"> kehittää ratkaisuja, jotka vievät kaivosteollisuutta kohti älykkäämpää, turvallisempaa ja kestävämpää tulevaisuutta.</w:t>
            </w:r>
          </w:p>
          <w:p w14:paraId="79895BC6" w14:textId="43F8A61B" w:rsidR="000A644F" w:rsidRPr="000A644F" w:rsidRDefault="000A644F" w:rsidP="000A644F"/>
        </w:tc>
      </w:tr>
    </w:tbl>
    <w:p w14:paraId="65EA3859" w14:textId="77777777" w:rsidR="000A644F" w:rsidRDefault="000A644F" w:rsidP="00370500">
      <w:pPr>
        <w:pStyle w:val="Otsikko2"/>
      </w:pPr>
    </w:p>
    <w:p w14:paraId="18183083" w14:textId="0639CC18" w:rsidR="001E3508" w:rsidRPr="00B85D32" w:rsidRDefault="001E3508" w:rsidP="00C15FAC">
      <w:pPr>
        <w:spacing w:after="0" w:line="240" w:lineRule="auto"/>
      </w:pPr>
    </w:p>
    <w:sectPr w:rsidR="001E3508" w:rsidRPr="00B85D32" w:rsidSect="001E3508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A2EBF"/>
    <w:multiLevelType w:val="hybridMultilevel"/>
    <w:tmpl w:val="3BD4BE58"/>
    <w:lvl w:ilvl="0" w:tplc="5F12C9A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749DD"/>
    <w:multiLevelType w:val="multilevel"/>
    <w:tmpl w:val="D730CA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E87BA9"/>
    <w:multiLevelType w:val="hybridMultilevel"/>
    <w:tmpl w:val="40F6757C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AF1AF1"/>
    <w:multiLevelType w:val="multilevel"/>
    <w:tmpl w:val="B160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E60120"/>
    <w:multiLevelType w:val="hybridMultilevel"/>
    <w:tmpl w:val="68DEA8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B4DAC"/>
    <w:multiLevelType w:val="multilevel"/>
    <w:tmpl w:val="B176A04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ptos" w:hAnsi="Apto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1D7348"/>
    <w:multiLevelType w:val="multilevel"/>
    <w:tmpl w:val="711EEF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615020964">
    <w:abstractNumId w:val="2"/>
  </w:num>
  <w:num w:numId="2" w16cid:durableId="125851857">
    <w:abstractNumId w:val="3"/>
  </w:num>
  <w:num w:numId="3" w16cid:durableId="1727488624">
    <w:abstractNumId w:val="0"/>
  </w:num>
  <w:num w:numId="4" w16cid:durableId="1080173104">
    <w:abstractNumId w:val="1"/>
  </w:num>
  <w:num w:numId="5" w16cid:durableId="439027584">
    <w:abstractNumId w:val="4"/>
  </w:num>
  <w:num w:numId="6" w16cid:durableId="153959036">
    <w:abstractNumId w:val="5"/>
  </w:num>
  <w:num w:numId="7" w16cid:durableId="17270263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08"/>
    <w:rsid w:val="00007558"/>
    <w:rsid w:val="00017C41"/>
    <w:rsid w:val="00030C44"/>
    <w:rsid w:val="00062C85"/>
    <w:rsid w:val="000646E8"/>
    <w:rsid w:val="00071186"/>
    <w:rsid w:val="0008250F"/>
    <w:rsid w:val="000A644F"/>
    <w:rsid w:val="000F2B0D"/>
    <w:rsid w:val="00102CDF"/>
    <w:rsid w:val="00113A8F"/>
    <w:rsid w:val="00114EC7"/>
    <w:rsid w:val="001243CD"/>
    <w:rsid w:val="001360DE"/>
    <w:rsid w:val="001406F8"/>
    <w:rsid w:val="00180063"/>
    <w:rsid w:val="001A560E"/>
    <w:rsid w:val="001C7098"/>
    <w:rsid w:val="001E27D7"/>
    <w:rsid w:val="001E3508"/>
    <w:rsid w:val="001F408C"/>
    <w:rsid w:val="00214942"/>
    <w:rsid w:val="0024759E"/>
    <w:rsid w:val="00247EC9"/>
    <w:rsid w:val="0025742E"/>
    <w:rsid w:val="00263510"/>
    <w:rsid w:val="002D1E34"/>
    <w:rsid w:val="002F0AE9"/>
    <w:rsid w:val="003068B2"/>
    <w:rsid w:val="00332AB6"/>
    <w:rsid w:val="003428CB"/>
    <w:rsid w:val="00370500"/>
    <w:rsid w:val="003719F7"/>
    <w:rsid w:val="003B3B79"/>
    <w:rsid w:val="003B73AC"/>
    <w:rsid w:val="003C1F23"/>
    <w:rsid w:val="003C56C5"/>
    <w:rsid w:val="003E10A3"/>
    <w:rsid w:val="003E58FD"/>
    <w:rsid w:val="003E59D3"/>
    <w:rsid w:val="0040511C"/>
    <w:rsid w:val="00431084"/>
    <w:rsid w:val="00433332"/>
    <w:rsid w:val="004A5443"/>
    <w:rsid w:val="004C5128"/>
    <w:rsid w:val="004F7380"/>
    <w:rsid w:val="005141DA"/>
    <w:rsid w:val="0053052F"/>
    <w:rsid w:val="00594995"/>
    <w:rsid w:val="00607C50"/>
    <w:rsid w:val="00627844"/>
    <w:rsid w:val="00635033"/>
    <w:rsid w:val="006519D9"/>
    <w:rsid w:val="006B52B5"/>
    <w:rsid w:val="006C2BB6"/>
    <w:rsid w:val="007159A6"/>
    <w:rsid w:val="007161BA"/>
    <w:rsid w:val="00751D8D"/>
    <w:rsid w:val="007714F0"/>
    <w:rsid w:val="0077156B"/>
    <w:rsid w:val="007E1B4D"/>
    <w:rsid w:val="007F783B"/>
    <w:rsid w:val="00803326"/>
    <w:rsid w:val="008212D9"/>
    <w:rsid w:val="00826EB5"/>
    <w:rsid w:val="00870AA8"/>
    <w:rsid w:val="0087662E"/>
    <w:rsid w:val="008A0BCB"/>
    <w:rsid w:val="008B2E61"/>
    <w:rsid w:val="008C5405"/>
    <w:rsid w:val="0090051A"/>
    <w:rsid w:val="009108D0"/>
    <w:rsid w:val="00914B33"/>
    <w:rsid w:val="0092153E"/>
    <w:rsid w:val="00923E39"/>
    <w:rsid w:val="009340B4"/>
    <w:rsid w:val="00936EBF"/>
    <w:rsid w:val="009438EF"/>
    <w:rsid w:val="009449EF"/>
    <w:rsid w:val="0095583D"/>
    <w:rsid w:val="00962070"/>
    <w:rsid w:val="0097387F"/>
    <w:rsid w:val="009C5D12"/>
    <w:rsid w:val="009E4E7F"/>
    <w:rsid w:val="00A028FB"/>
    <w:rsid w:val="00A654F0"/>
    <w:rsid w:val="00A67AE7"/>
    <w:rsid w:val="00A7789D"/>
    <w:rsid w:val="00AB44AC"/>
    <w:rsid w:val="00AD675C"/>
    <w:rsid w:val="00AE6478"/>
    <w:rsid w:val="00AF467F"/>
    <w:rsid w:val="00AF4C92"/>
    <w:rsid w:val="00B03CAA"/>
    <w:rsid w:val="00B076DE"/>
    <w:rsid w:val="00B21E2E"/>
    <w:rsid w:val="00B36449"/>
    <w:rsid w:val="00B40330"/>
    <w:rsid w:val="00B510A8"/>
    <w:rsid w:val="00B81487"/>
    <w:rsid w:val="00B8414D"/>
    <w:rsid w:val="00B85D32"/>
    <w:rsid w:val="00BA110F"/>
    <w:rsid w:val="00BA6ABD"/>
    <w:rsid w:val="00BC6320"/>
    <w:rsid w:val="00BD349B"/>
    <w:rsid w:val="00BF4856"/>
    <w:rsid w:val="00C159A1"/>
    <w:rsid w:val="00C15FAC"/>
    <w:rsid w:val="00C24EFB"/>
    <w:rsid w:val="00C35075"/>
    <w:rsid w:val="00C429E5"/>
    <w:rsid w:val="00C65577"/>
    <w:rsid w:val="00C86855"/>
    <w:rsid w:val="00C95A1C"/>
    <w:rsid w:val="00D10364"/>
    <w:rsid w:val="00D55E89"/>
    <w:rsid w:val="00D7379F"/>
    <w:rsid w:val="00DD6ED6"/>
    <w:rsid w:val="00DE18A2"/>
    <w:rsid w:val="00DF1C25"/>
    <w:rsid w:val="00E0296B"/>
    <w:rsid w:val="00E10E00"/>
    <w:rsid w:val="00E21ABE"/>
    <w:rsid w:val="00E302EB"/>
    <w:rsid w:val="00E867D6"/>
    <w:rsid w:val="00EC3E13"/>
    <w:rsid w:val="00EC4D80"/>
    <w:rsid w:val="00ED0E4D"/>
    <w:rsid w:val="00EE37B8"/>
    <w:rsid w:val="00EF44A6"/>
    <w:rsid w:val="00F131AF"/>
    <w:rsid w:val="00F403D0"/>
    <w:rsid w:val="00F7074D"/>
    <w:rsid w:val="00F85096"/>
    <w:rsid w:val="00FB01FF"/>
    <w:rsid w:val="00FB626D"/>
    <w:rsid w:val="00FD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52C"/>
  <w15:chartTrackingRefBased/>
  <w15:docId w15:val="{73EEFDBA-A33B-4AC1-9E25-23C90D87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E3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E3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E3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E3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E3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E3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E3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E3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E3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E3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1E3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E3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E350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E350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E350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E350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E350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E350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E3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E3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E3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E3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E3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E350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E350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E350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E3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E350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E3508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B51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Voimakas">
    <w:name w:val="Strong"/>
    <w:basedOn w:val="Kappaleenoletusfontti"/>
    <w:uiPriority w:val="22"/>
    <w:qFormat/>
    <w:rsid w:val="00B510A8"/>
    <w:rPr>
      <w:b/>
      <w:bCs/>
    </w:rPr>
  </w:style>
  <w:style w:type="paragraph" w:customStyle="1" w:styleId="pf0">
    <w:name w:val="pf0"/>
    <w:basedOn w:val="Normaali"/>
    <w:rsid w:val="00F40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f01">
    <w:name w:val="cf01"/>
    <w:basedOn w:val="Kappaleenoletusfontti"/>
    <w:rsid w:val="00F403D0"/>
    <w:rPr>
      <w:rFonts w:ascii="Consolas" w:hAnsi="Consolas" w:hint="default"/>
      <w:sz w:val="22"/>
      <w:szCs w:val="22"/>
    </w:rPr>
  </w:style>
  <w:style w:type="character" w:customStyle="1" w:styleId="cf11">
    <w:name w:val="cf11"/>
    <w:basedOn w:val="Kappaleenoletusfontti"/>
    <w:rsid w:val="00F403D0"/>
    <w:rPr>
      <w:rFonts w:ascii="Consolas" w:hAnsi="Consolas" w:hint="default"/>
      <w:sz w:val="22"/>
      <w:szCs w:val="22"/>
    </w:rPr>
  </w:style>
  <w:style w:type="paragraph" w:styleId="Muutos">
    <w:name w:val="Revision"/>
    <w:hidden/>
    <w:uiPriority w:val="99"/>
    <w:semiHidden/>
    <w:rsid w:val="006519D9"/>
    <w:pPr>
      <w:spacing w:after="0" w:line="240" w:lineRule="auto"/>
    </w:pPr>
  </w:style>
  <w:style w:type="character" w:styleId="Kommentinviite">
    <w:name w:val="annotation reference"/>
    <w:basedOn w:val="Kappaleenoletusfontti"/>
    <w:uiPriority w:val="99"/>
    <w:semiHidden/>
    <w:unhideWhenUsed/>
    <w:rsid w:val="006C2BB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6C2BB6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6C2BB6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C2BB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C2BB6"/>
    <w:rPr>
      <w:b/>
      <w:bCs/>
      <w:sz w:val="20"/>
      <w:szCs w:val="20"/>
    </w:rPr>
  </w:style>
  <w:style w:type="paragraph" w:styleId="Alatunniste">
    <w:name w:val="footer"/>
    <w:basedOn w:val="Normaali"/>
    <w:link w:val="AlatunnisteChar"/>
    <w:uiPriority w:val="99"/>
    <w:unhideWhenUsed/>
    <w:rsid w:val="007714F0"/>
    <w:pPr>
      <w:tabs>
        <w:tab w:val="left" w:pos="6067"/>
      </w:tabs>
      <w:spacing w:after="0" w:line="220" w:lineRule="atLeast"/>
      <w:ind w:right="567"/>
    </w:pPr>
    <w:rPr>
      <w:color w:val="9D9D9D"/>
      <w:kern w:val="0"/>
      <w:sz w:val="18"/>
      <w:szCs w:val="20"/>
      <w:lang w:val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7714F0"/>
    <w:rPr>
      <w:color w:val="9D9D9D"/>
      <w:kern w:val="0"/>
      <w:sz w:val="18"/>
      <w:szCs w:val="20"/>
      <w:lang w:val="en-US"/>
    </w:rPr>
  </w:style>
  <w:style w:type="table" w:styleId="TaulukkoRuudukko">
    <w:name w:val="Table Grid"/>
    <w:basedOn w:val="Normaalitaulukko"/>
    <w:uiPriority w:val="39"/>
    <w:rsid w:val="000A6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7D9BA6155705145ABB884D48BDDD5C8" ma:contentTypeVersion="9" ma:contentTypeDescription="Luo uusi asiakirja." ma:contentTypeScope="" ma:versionID="22529a1fb096ffec3836a08db8f0ff0e">
  <xsd:schema xmlns:xsd="http://www.w3.org/2001/XMLSchema" xmlns:xs="http://www.w3.org/2001/XMLSchema" xmlns:p="http://schemas.microsoft.com/office/2006/metadata/properties" xmlns:ns2="5ad600dd-51a2-41c6-8da1-e1400704855b" targetNamespace="http://schemas.microsoft.com/office/2006/metadata/properties" ma:root="true" ma:fieldsID="42e61ed56ca5a56b167f874b0074cef9" ns2:_="">
    <xsd:import namespace="5ad600dd-51a2-41c6-8da1-e14007048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600dd-51a2-41c6-8da1-e14007048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3343c7b5-bfc4-4843-83e5-e04a9b0611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d600dd-51a2-41c6-8da1-e1400704855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FA93B0-0E09-453E-BF1C-4256A67BC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600dd-51a2-41c6-8da1-e14007048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78A778-C677-4146-9FAD-BF0D267FD8C1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5ad600dd-51a2-41c6-8da1-e1400704855b"/>
    <ds:schemaRef ds:uri="http://schemas.microsoft.com/office/infopath/2007/PartnerControls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36AE1A5-4A57-4CE8-B843-38D3F1C9FA5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c94a248-ecf2-41b6-9b42-923651114b04}" enabled="0" method="" siteId="{7c94a248-ecf2-41b6-9b42-923651114b04}" removed="1"/>
  <clbl:label id="{d95951a6-dfd3-4a74-9abb-f2b2cb89d671}" enabled="0" method="" siteId="{d95951a6-dfd3-4a74-9abb-f2b2cb89d671}" removed="1"/>
  <clbl:label id="{e58707db-cea7-4907-92d1-cf323291762b}" enabled="1" method="Standard" siteId="{e11cbe9c-f680-44b9-9d42-d705f740b8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746</Words>
  <Characters>6044</Characters>
  <Application>Microsoft Office Word</Application>
  <DocSecurity>0</DocSecurity>
  <Lines>50</Lines>
  <Paragraphs>13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Salonen Tinnu (ELY)</dc:creator>
  <cp:keywords/>
  <dc:description/>
  <cp:lastModifiedBy>Anna Yli-Saunamäki</cp:lastModifiedBy>
  <cp:revision>2</cp:revision>
  <cp:lastPrinted>2025-10-31T14:08:00Z</cp:lastPrinted>
  <dcterms:created xsi:type="dcterms:W3CDTF">2025-11-11T12:35:00Z</dcterms:created>
  <dcterms:modified xsi:type="dcterms:W3CDTF">2025-11-11T12:35:00Z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0x01010037D9BA6155705145ABB884D48BDDD5C8</vt:lpwstr>
  </property>
</Properties>
</file>